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11680" w14:textId="77777777" w:rsidR="004C7FC9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C7FC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722969" w14:textId="77777777" w:rsidR="004C7FC9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C7FC9">
        <w:rPr>
          <w:rFonts w:ascii="Times New Roman" w:hAnsi="Times New Roman" w:cs="Times New Roman"/>
          <w:sz w:val="24"/>
          <w:szCs w:val="24"/>
        </w:rPr>
        <w:t xml:space="preserve">к </w:t>
      </w:r>
      <w:r w:rsidR="00E519A8" w:rsidRPr="004C7FC9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4C7FC9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14:paraId="303AC5ED" w14:textId="2AAB585E" w:rsidR="00685AD2" w:rsidRPr="004C7FC9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C7FC9">
        <w:rPr>
          <w:rFonts w:ascii="Times New Roman" w:hAnsi="Times New Roman" w:cs="Times New Roman"/>
          <w:sz w:val="24"/>
          <w:szCs w:val="24"/>
        </w:rPr>
        <w:t>городского округа город Салават Республики Башкортостан</w:t>
      </w:r>
    </w:p>
    <w:p w14:paraId="59C7EB57" w14:textId="3D0D0B14" w:rsidR="00BC2D2C" w:rsidRPr="004C7FC9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C7FC9">
        <w:rPr>
          <w:rFonts w:ascii="Times New Roman" w:hAnsi="Times New Roman" w:cs="Times New Roman"/>
          <w:sz w:val="24"/>
          <w:szCs w:val="24"/>
        </w:rPr>
        <w:t xml:space="preserve">от </w:t>
      </w:r>
      <w:r w:rsidR="004C7FC9" w:rsidRPr="004C7FC9">
        <w:rPr>
          <w:rFonts w:ascii="Times New Roman" w:hAnsi="Times New Roman" w:cs="Times New Roman"/>
          <w:sz w:val="24"/>
          <w:szCs w:val="24"/>
        </w:rPr>
        <w:t>24</w:t>
      </w:r>
      <w:r w:rsidR="007D54C8">
        <w:rPr>
          <w:rFonts w:ascii="Times New Roman" w:hAnsi="Times New Roman" w:cs="Times New Roman"/>
          <w:sz w:val="24"/>
          <w:szCs w:val="24"/>
        </w:rPr>
        <w:t xml:space="preserve"> декабря 2024 г. № 6-5/67</w:t>
      </w:r>
      <w:bookmarkStart w:id="0" w:name="_GoBack"/>
      <w:bookmarkEnd w:id="0"/>
    </w:p>
    <w:p w14:paraId="37127C8F" w14:textId="77777777" w:rsidR="00BC2D2C" w:rsidRDefault="00BC2D2C" w:rsidP="00BC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810A9" w14:textId="77777777" w:rsidR="00971393" w:rsidRDefault="00971393" w:rsidP="002A4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872806" w14:textId="77777777" w:rsidR="00971393" w:rsidRDefault="00971393" w:rsidP="002A4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AF4FB3" w14:textId="77777777" w:rsidR="004C7FC9" w:rsidRDefault="002A4A40" w:rsidP="004C7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выполнения муниципальной программы</w:t>
      </w:r>
    </w:p>
    <w:p w14:paraId="75888EEC" w14:textId="6DE2899E" w:rsidR="00BC2D2C" w:rsidRDefault="002A4A40" w:rsidP="004C7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«Охрана здоровья</w:t>
      </w:r>
      <w:r w:rsidR="004C7F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CE7B4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BC2D2C" w:rsidRPr="00BC2D2C">
        <w:rPr>
          <w:rFonts w:ascii="Times New Roman" w:hAnsi="Times New Roman" w:cs="Times New Roman"/>
          <w:b/>
          <w:sz w:val="28"/>
          <w:szCs w:val="28"/>
        </w:rPr>
        <w:t xml:space="preserve"> города Салават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 w:rsidR="00CE7B45">
        <w:rPr>
          <w:rFonts w:ascii="Times New Roman" w:hAnsi="Times New Roman" w:cs="Times New Roman"/>
          <w:b/>
          <w:sz w:val="28"/>
          <w:szCs w:val="28"/>
        </w:rPr>
        <w:t>Башкортостан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B2054">
        <w:rPr>
          <w:rFonts w:ascii="Times New Roman" w:hAnsi="Times New Roman" w:cs="Times New Roman"/>
          <w:b/>
          <w:sz w:val="28"/>
          <w:szCs w:val="28"/>
        </w:rPr>
        <w:t xml:space="preserve"> в 2024 году.</w:t>
      </w:r>
    </w:p>
    <w:p w14:paraId="69C445E3" w14:textId="77777777" w:rsidR="002A4A40" w:rsidRDefault="002A4A40" w:rsidP="006D1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65514" w14:textId="724F2BB1" w:rsidR="00100271" w:rsidRPr="00100271" w:rsidRDefault="00971393" w:rsidP="004C7F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271" w:rsidRPr="001002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26D2" w:rsidRPr="005B26D2">
        <w:rPr>
          <w:rFonts w:ascii="Times New Roman" w:hAnsi="Times New Roman" w:cs="Times New Roman"/>
          <w:sz w:val="28"/>
          <w:szCs w:val="28"/>
        </w:rPr>
        <w:t>Муниципальная программа «Охрана здоровья населения городского округа город Салават Республики Башкортостан»</w:t>
      </w:r>
      <w:r w:rsidR="005B26D2">
        <w:rPr>
          <w:rFonts w:ascii="Times New Roman" w:hAnsi="Times New Roman" w:cs="Times New Roman"/>
          <w:sz w:val="28"/>
          <w:szCs w:val="28"/>
        </w:rPr>
        <w:t xml:space="preserve"> </w:t>
      </w:r>
      <w:r w:rsidR="00100271" w:rsidRPr="00100271">
        <w:rPr>
          <w:rFonts w:ascii="Times New Roman" w:hAnsi="Times New Roman" w:cs="Times New Roman"/>
          <w:sz w:val="28"/>
          <w:szCs w:val="28"/>
        </w:rPr>
        <w:t>утве</w:t>
      </w:r>
      <w:r w:rsidR="005B26D2">
        <w:rPr>
          <w:rFonts w:ascii="Times New Roman" w:hAnsi="Times New Roman" w:cs="Times New Roman"/>
          <w:sz w:val="28"/>
          <w:szCs w:val="28"/>
        </w:rPr>
        <w:t>рждена в 2019 году во исполнение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национального проекта «Здравоохранение», срок реализации программы </w:t>
      </w:r>
      <w:r w:rsidR="00100271" w:rsidRPr="006A622F">
        <w:rPr>
          <w:rFonts w:ascii="Times New Roman" w:hAnsi="Times New Roman" w:cs="Times New Roman"/>
          <w:sz w:val="28"/>
          <w:szCs w:val="28"/>
        </w:rPr>
        <w:t>до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декабря 2024г.</w:t>
      </w:r>
    </w:p>
    <w:p w14:paraId="216AC618" w14:textId="0233022C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Цель Программы - обеспечение оптимальной доступности дл</w:t>
      </w:r>
      <w:r w:rsidR="005B26D2">
        <w:rPr>
          <w:rFonts w:ascii="Times New Roman" w:hAnsi="Times New Roman" w:cs="Times New Roman"/>
          <w:sz w:val="28"/>
          <w:szCs w:val="28"/>
        </w:rPr>
        <w:t xml:space="preserve">я населения медицинской помощи </w:t>
      </w:r>
      <w:r w:rsidRPr="00100271">
        <w:rPr>
          <w:rFonts w:ascii="Times New Roman" w:hAnsi="Times New Roman" w:cs="Times New Roman"/>
          <w:sz w:val="28"/>
          <w:szCs w:val="28"/>
        </w:rPr>
        <w:t xml:space="preserve">путём ликвидации кадрового </w:t>
      </w:r>
      <w:r w:rsidR="005B26D2">
        <w:rPr>
          <w:rFonts w:ascii="Times New Roman" w:hAnsi="Times New Roman" w:cs="Times New Roman"/>
          <w:sz w:val="28"/>
          <w:szCs w:val="28"/>
        </w:rPr>
        <w:t>дефицита специалистов, улучшения</w:t>
      </w:r>
      <w:r w:rsidRPr="00100271">
        <w:rPr>
          <w:rFonts w:ascii="Times New Roman" w:hAnsi="Times New Roman" w:cs="Times New Roman"/>
          <w:sz w:val="28"/>
          <w:szCs w:val="28"/>
        </w:rPr>
        <w:t xml:space="preserve"> материально – технической базы медиц</w:t>
      </w:r>
      <w:r w:rsidR="005B26D2">
        <w:rPr>
          <w:rFonts w:ascii="Times New Roman" w:hAnsi="Times New Roman" w:cs="Times New Roman"/>
          <w:sz w:val="28"/>
          <w:szCs w:val="28"/>
        </w:rPr>
        <w:t>инских организаций, формирования</w:t>
      </w:r>
      <w:r w:rsidRPr="00100271">
        <w:rPr>
          <w:rFonts w:ascii="Times New Roman" w:hAnsi="Times New Roman" w:cs="Times New Roman"/>
          <w:sz w:val="28"/>
          <w:szCs w:val="28"/>
        </w:rPr>
        <w:t xml:space="preserve"> устойчивой мотивации на здоровый образ жизни у населения.</w:t>
      </w:r>
    </w:p>
    <w:p w14:paraId="183E5ACB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 увеличение продолжительности жизни горожан, снижение уровня смертности и рост рождаемости. </w:t>
      </w:r>
    </w:p>
    <w:p w14:paraId="169B1693" w14:textId="7466663D" w:rsidR="00100271" w:rsidRPr="00D0025F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sz w:val="28"/>
          <w:szCs w:val="28"/>
        </w:rPr>
        <w:t>1.По итогам реализации муниципальной программы за 2024 год по основным демографическим показателям удалось добиться позитивных сдвигов.</w:t>
      </w:r>
    </w:p>
    <w:p w14:paraId="56BDB6C7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>По показателям смертности</w:t>
      </w:r>
      <w:r w:rsidRPr="00100271">
        <w:rPr>
          <w:rFonts w:ascii="Times New Roman" w:hAnsi="Times New Roman" w:cs="Times New Roman"/>
          <w:sz w:val="28"/>
          <w:szCs w:val="28"/>
        </w:rPr>
        <w:t xml:space="preserve"> (общей, трудоспособного возраста, от заболеваний сердечно сосудистой системы и злокачественных новообразований) целевые значения достигнуты- 10,8% (ЦП- 14,0). Показатель по младенческой смертности выше среднереспубликанского, целевое значение не достигнуто. За 2024г умерло 3 детей до года, на расчёт показателя повлияло снижение количества родившихся детей. Причиной смерти всех детей явилась глубокая недоношенность и осложнения, возникшие на этом фоне. Все дети лечились в перинатальном центре </w:t>
      </w:r>
      <w:proofErr w:type="spellStart"/>
      <w:r w:rsidRPr="00100271"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 w:rsidRPr="00100271">
        <w:rPr>
          <w:rFonts w:ascii="Times New Roman" w:hAnsi="Times New Roman" w:cs="Times New Roman"/>
          <w:sz w:val="28"/>
          <w:szCs w:val="28"/>
        </w:rPr>
        <w:t>.</w:t>
      </w:r>
    </w:p>
    <w:p w14:paraId="4719E508" w14:textId="631373D5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Демогра</w:t>
      </w:r>
      <w:r w:rsidR="005B26D2">
        <w:rPr>
          <w:rFonts w:ascii="Times New Roman" w:hAnsi="Times New Roman" w:cs="Times New Roman"/>
          <w:sz w:val="28"/>
          <w:szCs w:val="28"/>
        </w:rPr>
        <w:t xml:space="preserve">фическая ситуация по г. Салавату </w:t>
      </w:r>
      <w:r w:rsidRPr="00100271">
        <w:rPr>
          <w:rFonts w:ascii="Times New Roman" w:hAnsi="Times New Roman" w:cs="Times New Roman"/>
          <w:sz w:val="28"/>
          <w:szCs w:val="28"/>
        </w:rPr>
        <w:t>характеризуется отрицательным естественным приростом (смертность превышает рождаемость). С начала реализации мер</w:t>
      </w:r>
      <w:r w:rsidR="005B26D2">
        <w:rPr>
          <w:rFonts w:ascii="Times New Roman" w:hAnsi="Times New Roman" w:cs="Times New Roman"/>
          <w:sz w:val="28"/>
          <w:szCs w:val="28"/>
        </w:rPr>
        <w:t xml:space="preserve">оприятий Программы с 2019 года </w:t>
      </w:r>
      <w:r w:rsidRPr="00100271">
        <w:rPr>
          <w:rFonts w:ascii="Times New Roman" w:hAnsi="Times New Roman" w:cs="Times New Roman"/>
          <w:sz w:val="28"/>
          <w:szCs w:val="28"/>
        </w:rPr>
        <w:t>достигнуто снижение показателя общей смертности, показатель ниже среднереспубликанского и целевого (14,0).  Всего за 10 мес. этого года умерло по городу 1 367 чел., из них 340 чел. трудоспособного возраста, что составляет 24,9% от всех умерших за этот период.</w:t>
      </w:r>
    </w:p>
    <w:p w14:paraId="47743D98" w14:textId="3E714DE6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В 2024 году родило</w:t>
      </w:r>
      <w:r w:rsidR="005B26D2">
        <w:rPr>
          <w:rFonts w:ascii="Times New Roman" w:hAnsi="Times New Roman" w:cs="Times New Roman"/>
          <w:sz w:val="28"/>
          <w:szCs w:val="28"/>
        </w:rPr>
        <w:t xml:space="preserve">сь 770 детей, что </w:t>
      </w:r>
      <w:r w:rsidR="006A622F">
        <w:rPr>
          <w:rFonts w:ascii="Times New Roman" w:hAnsi="Times New Roman" w:cs="Times New Roman"/>
          <w:sz w:val="28"/>
          <w:szCs w:val="28"/>
        </w:rPr>
        <w:t xml:space="preserve">на 129 детей </w:t>
      </w:r>
      <w:r w:rsidRPr="00100271">
        <w:rPr>
          <w:rFonts w:ascii="Times New Roman" w:hAnsi="Times New Roman" w:cs="Times New Roman"/>
          <w:sz w:val="28"/>
          <w:szCs w:val="28"/>
        </w:rPr>
        <w:t xml:space="preserve">меньше родившихся за аналогичный период 2023г. Показатель рождаемости ниже целевых </w:t>
      </w:r>
      <w:r w:rsidRPr="00100271">
        <w:rPr>
          <w:rFonts w:ascii="Times New Roman" w:hAnsi="Times New Roman" w:cs="Times New Roman"/>
          <w:sz w:val="28"/>
          <w:szCs w:val="28"/>
        </w:rPr>
        <w:lastRenderedPageBreak/>
        <w:t>показателей, такая же ситуация и по республике в целом (РБ-8,5 на 1000 нас.). Данная проблема не только медицинская и требует комплексного подхода. В городской больнице проводятся мероприятия по улучшению репродуктивного и соматического здоровья женщин и дев</w:t>
      </w:r>
      <w:r w:rsidR="005B26D2">
        <w:rPr>
          <w:rFonts w:ascii="Times New Roman" w:hAnsi="Times New Roman" w:cs="Times New Roman"/>
          <w:sz w:val="28"/>
          <w:szCs w:val="28"/>
        </w:rPr>
        <w:t>очек-</w:t>
      </w:r>
      <w:r w:rsidRPr="00100271">
        <w:rPr>
          <w:rFonts w:ascii="Times New Roman" w:hAnsi="Times New Roman" w:cs="Times New Roman"/>
          <w:sz w:val="28"/>
          <w:szCs w:val="28"/>
        </w:rPr>
        <w:t xml:space="preserve">подростков, организована служба по профилактике абортов, решён вопрос по направлению женщин на ЭКО в рамках обязательного медицинского страхования. </w:t>
      </w:r>
    </w:p>
    <w:p w14:paraId="516BDA51" w14:textId="65CD62B2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>Смертность среди населения трудоспособного возраста</w:t>
      </w:r>
      <w:r w:rsidRPr="00100271">
        <w:rPr>
          <w:rFonts w:ascii="Times New Roman" w:hAnsi="Times New Roman" w:cs="Times New Roman"/>
          <w:sz w:val="28"/>
          <w:szCs w:val="28"/>
        </w:rPr>
        <w:t>, пок</w:t>
      </w:r>
      <w:r w:rsidR="005B26D2">
        <w:rPr>
          <w:rFonts w:ascii="Times New Roman" w:hAnsi="Times New Roman" w:cs="Times New Roman"/>
          <w:sz w:val="28"/>
          <w:szCs w:val="28"/>
        </w:rPr>
        <w:t>азатель выше предыдущего года, т</w:t>
      </w:r>
      <w:r w:rsidRPr="00100271">
        <w:rPr>
          <w:rFonts w:ascii="Times New Roman" w:hAnsi="Times New Roman" w:cs="Times New Roman"/>
          <w:sz w:val="28"/>
          <w:szCs w:val="28"/>
        </w:rPr>
        <w:t>аб.1</w:t>
      </w:r>
    </w:p>
    <w:p w14:paraId="31A3370F" w14:textId="119C5788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Показатель общей смертности в трудоспособном возрасте</w:t>
      </w:r>
      <w:r w:rsidR="005B26D2">
        <w:rPr>
          <w:rFonts w:ascii="Times New Roman" w:hAnsi="Times New Roman" w:cs="Times New Roman"/>
          <w:sz w:val="28"/>
          <w:szCs w:val="28"/>
        </w:rPr>
        <w:t xml:space="preserve"> за 10 мес.2024 года по сравнению</w:t>
      </w:r>
      <w:r w:rsidRPr="00100271">
        <w:rPr>
          <w:rFonts w:ascii="Times New Roman" w:hAnsi="Times New Roman" w:cs="Times New Roman"/>
          <w:sz w:val="28"/>
          <w:szCs w:val="28"/>
        </w:rPr>
        <w:t xml:space="preserve"> с 10 мес. 2023 года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7"/>
        <w:gridCol w:w="1171"/>
        <w:gridCol w:w="1166"/>
        <w:gridCol w:w="1124"/>
        <w:gridCol w:w="1121"/>
        <w:gridCol w:w="1256"/>
      </w:tblGrid>
      <w:tr w:rsidR="00100271" w:rsidRPr="005E718E" w14:paraId="59EBF5F3" w14:textId="77777777" w:rsidTr="004C7FC9">
        <w:trPr>
          <w:trHeight w:val="280"/>
        </w:trPr>
        <w:tc>
          <w:tcPr>
            <w:tcW w:w="3497" w:type="dxa"/>
            <w:vMerge w:val="restart"/>
            <w:noWrap/>
          </w:tcPr>
          <w:p w14:paraId="5D8407EC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 xml:space="preserve">Смертность всего </w:t>
            </w:r>
          </w:p>
        </w:tc>
        <w:tc>
          <w:tcPr>
            <w:tcW w:w="2337" w:type="dxa"/>
            <w:gridSpan w:val="2"/>
            <w:noWrap/>
          </w:tcPr>
          <w:p w14:paraId="2D30E1E5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Общий итог</w:t>
            </w:r>
          </w:p>
        </w:tc>
        <w:tc>
          <w:tcPr>
            <w:tcW w:w="2245" w:type="dxa"/>
            <w:gridSpan w:val="2"/>
            <w:noWrap/>
          </w:tcPr>
          <w:p w14:paraId="4756DD04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Показатель на 100 000 населения</w:t>
            </w:r>
          </w:p>
        </w:tc>
        <w:tc>
          <w:tcPr>
            <w:tcW w:w="1256" w:type="dxa"/>
            <w:noWrap/>
          </w:tcPr>
          <w:p w14:paraId="6A69BF96" w14:textId="171AC0FE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Рост/</w:t>
            </w:r>
          </w:p>
          <w:p w14:paraId="75E7D53A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снижение</w:t>
            </w:r>
          </w:p>
        </w:tc>
      </w:tr>
      <w:tr w:rsidR="00100271" w:rsidRPr="005E718E" w14:paraId="6F6D8626" w14:textId="77777777" w:rsidTr="004C7FC9">
        <w:trPr>
          <w:trHeight w:val="280"/>
        </w:trPr>
        <w:tc>
          <w:tcPr>
            <w:tcW w:w="3497" w:type="dxa"/>
            <w:vMerge/>
            <w:noWrap/>
          </w:tcPr>
          <w:p w14:paraId="4C474A10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noWrap/>
          </w:tcPr>
          <w:p w14:paraId="65F11908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6" w:type="dxa"/>
            <w:noWrap/>
          </w:tcPr>
          <w:p w14:paraId="6D5A4436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4" w:type="dxa"/>
            <w:noWrap/>
          </w:tcPr>
          <w:p w14:paraId="3AF7B292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1" w:type="dxa"/>
            <w:noWrap/>
          </w:tcPr>
          <w:p w14:paraId="4B8A54B1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56" w:type="dxa"/>
            <w:noWrap/>
          </w:tcPr>
          <w:p w14:paraId="14DFF959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0271" w:rsidRPr="005E718E" w14:paraId="128DA7DB" w14:textId="77777777" w:rsidTr="004C7FC9">
        <w:trPr>
          <w:trHeight w:val="280"/>
        </w:trPr>
        <w:tc>
          <w:tcPr>
            <w:tcW w:w="3497" w:type="dxa"/>
            <w:noWrap/>
          </w:tcPr>
          <w:p w14:paraId="57C05032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 xml:space="preserve">из них в трудоспособном возрасте </w:t>
            </w:r>
          </w:p>
        </w:tc>
        <w:tc>
          <w:tcPr>
            <w:tcW w:w="1171" w:type="dxa"/>
            <w:noWrap/>
          </w:tcPr>
          <w:p w14:paraId="07D179B1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66" w:type="dxa"/>
            <w:noWrap/>
          </w:tcPr>
          <w:p w14:paraId="0A362185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24" w:type="dxa"/>
            <w:noWrap/>
          </w:tcPr>
          <w:p w14:paraId="59B090DB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452,6</w:t>
            </w:r>
          </w:p>
        </w:tc>
        <w:tc>
          <w:tcPr>
            <w:tcW w:w="1121" w:type="dxa"/>
            <w:noWrap/>
          </w:tcPr>
          <w:p w14:paraId="65B1FB78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477,7</w:t>
            </w:r>
          </w:p>
        </w:tc>
        <w:tc>
          <w:tcPr>
            <w:tcW w:w="1256" w:type="dxa"/>
            <w:noWrap/>
          </w:tcPr>
          <w:p w14:paraId="78092998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5,5</w:t>
            </w:r>
          </w:p>
        </w:tc>
      </w:tr>
    </w:tbl>
    <w:p w14:paraId="5F6D24F1" w14:textId="77777777" w:rsidR="00100271" w:rsidRPr="005E718E" w:rsidRDefault="00100271" w:rsidP="00100271">
      <w:pPr>
        <w:spacing w:line="240" w:lineRule="auto"/>
        <w:jc w:val="both"/>
        <w:rPr>
          <w:rFonts w:ascii="Times New Roman" w:hAnsi="Times New Roman" w:cs="Times New Roman"/>
        </w:rPr>
      </w:pPr>
    </w:p>
    <w:p w14:paraId="19369685" w14:textId="55A3D3EC" w:rsidR="008821E1" w:rsidRDefault="005B26D2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с 10 мес. 2023 года отмечается прирост числа умерших в трудоспособном возрасте на 18 чел.</w:t>
      </w:r>
      <w:r w:rsidR="00882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2207B120" w14:textId="716A61CB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Смертность в трудоспособном возрасте по Салавату за 10 месяцев 2024 года – 477,7 на 100 тыс. нас., что ниже ЦП.</w:t>
      </w:r>
    </w:p>
    <w:p w14:paraId="1C22D5D8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14:paraId="7F72824D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За 10 месяцев 2024 года в структуре смертности в трудоспособном возрасте смертность от БСК заняла первое место и составила 113 чел., из них:</w:t>
      </w:r>
    </w:p>
    <w:p w14:paraId="76CBA3C3" w14:textId="22074428" w:rsidR="00100271" w:rsidRPr="00100271" w:rsidRDefault="00100271" w:rsidP="004C7F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- ИБС – 57 чел. (13 ИМ) – 50,4%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ЦВЗ - 20 чел. (инсульты – 12 чел.) – 17,7%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другие БСК – 36 чел. – 31,9%.</w:t>
      </w:r>
    </w:p>
    <w:p w14:paraId="7665FB24" w14:textId="0FB5D6CB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Злокачественные новообразования</w:t>
      </w:r>
    </w:p>
    <w:p w14:paraId="416078DB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За 10 месяцев 2024 года в структуре смертности в трудоспособном возрасте смертность от ЗНО заняла втрое место. Смертность от ЗНО лиц трудоспособного возраста составила 53 чел. – 15,6% от общей смертности в трудоспособном возрасте.</w:t>
      </w:r>
    </w:p>
    <w:p w14:paraId="59319D4B" w14:textId="0BCE7080" w:rsidR="00100271" w:rsidRPr="00100271" w:rsidRDefault="00100271" w:rsidP="004C7F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Основные локализации следующие: </w:t>
      </w:r>
    </w:p>
    <w:p w14:paraId="66074B45" w14:textId="65906DAF" w:rsidR="00100271" w:rsidRPr="00100271" w:rsidRDefault="00100271" w:rsidP="004C7F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- легких и бронхов - 10 чел. - 18,9%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желудка - 5 чел. - 9,4%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 xml:space="preserve">- различных отделов кишечника - 10 чел. (из них прямой кишки - 4 чел., ободочной кишки - 3 чел., сигмовидной кишки - 2 чел., 12п кишки - 1 чел.) </w:t>
      </w:r>
    </w:p>
    <w:p w14:paraId="6F47734B" w14:textId="4BB6FBD4" w:rsidR="00100271" w:rsidRPr="00100271" w:rsidRDefault="00100271" w:rsidP="004C7F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>- ротоглотки - 3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молочной железы - 3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желчного пузыря и желчевыводящих путей - 2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предстательной железы - 4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почек - 2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поджелудочной железы – 2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и др. по 1 чел.</w:t>
      </w:r>
    </w:p>
    <w:p w14:paraId="76FAAD1B" w14:textId="4DFDE7B6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Смерть от внешних причин</w:t>
      </w:r>
    </w:p>
    <w:p w14:paraId="09CFE1A5" w14:textId="55AF1BCC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За 10 месяцев 2024 года в структуре смертности в трудоспособном возрасте</w:t>
      </w:r>
      <w:r w:rsidR="005B26D2">
        <w:rPr>
          <w:rFonts w:ascii="Times New Roman" w:hAnsi="Times New Roman" w:cs="Times New Roman"/>
          <w:sz w:val="28"/>
          <w:szCs w:val="28"/>
        </w:rPr>
        <w:t xml:space="preserve"> смертность от внешних причин </w:t>
      </w:r>
      <w:r w:rsidRPr="00100271">
        <w:rPr>
          <w:rFonts w:ascii="Times New Roman" w:hAnsi="Times New Roman" w:cs="Times New Roman"/>
          <w:sz w:val="28"/>
          <w:szCs w:val="28"/>
        </w:rPr>
        <w:t>заняла третье место. Смертность от внешних причин лиц трудоспособного возраста составила 46 чел. – 13,5% от общей смертности в трудоспособном возрасте.</w:t>
      </w:r>
    </w:p>
    <w:p w14:paraId="07101BBC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Причины смертности от внешних причин в трудоспособном возрасте за 10 мес.2024 года из 46 следующие:</w:t>
      </w:r>
    </w:p>
    <w:p w14:paraId="069C6991" w14:textId="1B014B74" w:rsidR="00100271" w:rsidRPr="00100271" w:rsidRDefault="007A5ED3" w:rsidP="004C7FC9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транспортные НС – 5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падение со (из) здания или сооружения – 5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воздействие чрезмерно низкой природной температуры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окисью углерода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удушение (самоповреждение) - 1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преднамеренное удушение и удавление с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неопредел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>. намерениями – 1чел.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повешение, </w:t>
      </w:r>
      <w:bookmarkStart w:id="1" w:name="_Hlk180157577"/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удушение и удавление с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неопредел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>. намерениями</w:t>
      </w:r>
      <w:bookmarkEnd w:id="1"/>
      <w:r w:rsidR="00100271" w:rsidRPr="00100271">
        <w:rPr>
          <w:rFonts w:ascii="Times New Roman" w:hAnsi="Times New Roman" w:cs="Times New Roman"/>
          <w:bCs/>
          <w:sz w:val="28"/>
          <w:szCs w:val="28"/>
        </w:rPr>
        <w:t>- 8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отравление и воздействие наркотиками и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психодислептиками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 [галлюциногенами], не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классиф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>. в других рубриках– 5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психотропными средствами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неизвестными веществами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алкоголем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повреждения, причиненные другим лицом с целью нанесения травм или убийства с помощью любых средств – 2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контакт с тупым предметом с неопределенными намерениями. – 10 </w:t>
      </w:r>
      <w:proofErr w:type="gram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контакт с острым предметом с неопределенными намерениями – 2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хирургическая операция с трансплантацией цельного органа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вдыхание и заглатывание пищи, приводящее к закупорке дыхательных путей – 1 чел.</w:t>
      </w:r>
    </w:p>
    <w:p w14:paraId="12B5226E" w14:textId="1BB85D16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14:paraId="49F6A05D" w14:textId="32527AB0" w:rsidR="00100271" w:rsidRPr="00CA0B9B" w:rsidRDefault="00100271" w:rsidP="004C7FC9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9B">
        <w:rPr>
          <w:rFonts w:ascii="Times New Roman" w:hAnsi="Times New Roman" w:cs="Times New Roman"/>
          <w:sz w:val="28"/>
          <w:szCs w:val="28"/>
        </w:rPr>
        <w:t>В структуре общей смертности лица трудоспособного возраста составили 24,9%.</w:t>
      </w:r>
    </w:p>
    <w:p w14:paraId="1572F7CA" w14:textId="77777777" w:rsidR="00100271" w:rsidRPr="00100271" w:rsidRDefault="00100271" w:rsidP="004C7FC9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Основными причинами общей смертности за 10 месяцев этого года это: смертность от БСК – 33,2%, смертность от ЗНО – 15,6%, смертность от внешних причин – 13,5%.</w:t>
      </w:r>
    </w:p>
    <w:p w14:paraId="7698B85A" w14:textId="77777777" w:rsidR="00100271" w:rsidRPr="00100271" w:rsidRDefault="00100271" w:rsidP="004C7FC9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Из общего количества умерших состояло на диспансерном учете 75,6% </w:t>
      </w:r>
    </w:p>
    <w:p w14:paraId="5BE548D5" w14:textId="77777777" w:rsidR="00100271" w:rsidRPr="00100271" w:rsidRDefault="00100271" w:rsidP="004C7FC9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>Доля умерших в стационаре составила почти половину – 48,8%, дома составила почти одну треть умерших – 29,4%.</w:t>
      </w:r>
    </w:p>
    <w:p w14:paraId="06280234" w14:textId="77777777" w:rsidR="00100271" w:rsidRPr="00100271" w:rsidRDefault="00100271" w:rsidP="004C7FC9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Показатели смертности в трудоспособном возрасте не превышают среднереспубликанских и целевых значений.</w:t>
      </w:r>
    </w:p>
    <w:p w14:paraId="66E85677" w14:textId="6D8235AD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>По показателю младенческой смертности</w:t>
      </w:r>
      <w:r w:rsidRPr="00100271">
        <w:rPr>
          <w:rFonts w:ascii="Times New Roman" w:hAnsi="Times New Roman" w:cs="Times New Roman"/>
          <w:sz w:val="28"/>
          <w:szCs w:val="28"/>
        </w:rPr>
        <w:t xml:space="preserve">, отмечается увеличение показателя по сравнению с прошлым годом, но выше целевого значения. </w:t>
      </w:r>
    </w:p>
    <w:p w14:paraId="7A4A10BB" w14:textId="08235D3C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Комплекс проводимых мероприятий, начиная от профилактической работы с населением (организация городских праздников здоровья, публикации в социальных сетях, выступления на телевидении проведение различных </w:t>
      </w:r>
      <w:proofErr w:type="spellStart"/>
      <w:r w:rsidRPr="00100271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100271">
        <w:rPr>
          <w:rFonts w:ascii="Times New Roman" w:hAnsi="Times New Roman" w:cs="Times New Roman"/>
          <w:sz w:val="28"/>
          <w:szCs w:val="28"/>
        </w:rPr>
        <w:t xml:space="preserve"> обследований, профилактических осмотров и диспансеризации) до совершенствования специализированной медицинской помощи (установка ангиогр</w:t>
      </w:r>
      <w:r w:rsidR="005B26D2">
        <w:rPr>
          <w:rFonts w:ascii="Times New Roman" w:hAnsi="Times New Roman" w:cs="Times New Roman"/>
          <w:sz w:val="28"/>
          <w:szCs w:val="28"/>
        </w:rPr>
        <w:t>афического комплекса, выполнение</w:t>
      </w:r>
      <w:r w:rsidRPr="00100271">
        <w:rPr>
          <w:rFonts w:ascii="Times New Roman" w:hAnsi="Times New Roman" w:cs="Times New Roman"/>
          <w:sz w:val="28"/>
          <w:szCs w:val="28"/>
        </w:rPr>
        <w:t xml:space="preserve"> высокотехнологичных операций по сердечно –сосудистой хирургии, организация работы отделения абдоминальной онкологии), показывает свою эффективность и отражается на показателях смертности от основных причин.</w:t>
      </w:r>
    </w:p>
    <w:p w14:paraId="0670DFA8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Достигнуто устойчивое снижение показателей смертности от болезней системы кровообращения, в том числе от инфарктов и инсультов, и от злокачественных новообразований.</w:t>
      </w:r>
    </w:p>
    <w:p w14:paraId="5A95CD35" w14:textId="43E5FB9C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2.Следующий важный пункт муниципальной программы – </w:t>
      </w:r>
      <w:r w:rsidRPr="00100271">
        <w:rPr>
          <w:rFonts w:ascii="Times New Roman" w:hAnsi="Times New Roman" w:cs="Times New Roman"/>
          <w:b/>
          <w:sz w:val="28"/>
          <w:szCs w:val="28"/>
        </w:rPr>
        <w:t xml:space="preserve">охват населения профилактическими осмотрами и диспансеризацией. </w:t>
      </w:r>
      <w:r w:rsidRPr="00100271">
        <w:rPr>
          <w:rFonts w:ascii="Times New Roman" w:hAnsi="Times New Roman" w:cs="Times New Roman"/>
          <w:sz w:val="28"/>
          <w:szCs w:val="28"/>
        </w:rPr>
        <w:t xml:space="preserve">Профилактика играет огромную роль в снижении заболеваемости и смертности   от неинфекционных заболеваний. Показатели по проведению диспансеризации и профилактических осмотров населения предусмотрены региональным проектом «Развитие системы оказания первичной медико-санитарной помощи и </w:t>
      </w:r>
      <w:r w:rsidR="0032163A">
        <w:rPr>
          <w:rFonts w:ascii="Times New Roman" w:hAnsi="Times New Roman" w:cs="Times New Roman"/>
          <w:sz w:val="28"/>
          <w:szCs w:val="28"/>
        </w:rPr>
        <w:t>являются целевыми показателями н</w:t>
      </w:r>
      <w:r w:rsidRPr="00100271">
        <w:rPr>
          <w:rFonts w:ascii="Times New Roman" w:hAnsi="Times New Roman" w:cs="Times New Roman"/>
          <w:sz w:val="28"/>
          <w:szCs w:val="28"/>
        </w:rPr>
        <w:t>ацион</w:t>
      </w:r>
      <w:r w:rsidR="0032163A">
        <w:rPr>
          <w:rFonts w:ascii="Times New Roman" w:hAnsi="Times New Roman" w:cs="Times New Roman"/>
          <w:sz w:val="28"/>
          <w:szCs w:val="28"/>
        </w:rPr>
        <w:t>ального проекта «Здравоохранение</w:t>
      </w:r>
      <w:r w:rsidRPr="00100271">
        <w:rPr>
          <w:rFonts w:ascii="Times New Roman" w:hAnsi="Times New Roman" w:cs="Times New Roman"/>
          <w:sz w:val="28"/>
          <w:szCs w:val="28"/>
        </w:rPr>
        <w:t>».  За прошедший год диспансеризацию и профилактически</w:t>
      </w:r>
      <w:r w:rsidR="0032163A">
        <w:rPr>
          <w:rFonts w:ascii="Times New Roman" w:hAnsi="Times New Roman" w:cs="Times New Roman"/>
          <w:sz w:val="28"/>
          <w:szCs w:val="28"/>
        </w:rPr>
        <w:t>е осмотры прошли 43 645 человек</w:t>
      </w:r>
      <w:r w:rsidRPr="00100271">
        <w:rPr>
          <w:rFonts w:ascii="Times New Roman" w:hAnsi="Times New Roman" w:cs="Times New Roman"/>
          <w:sz w:val="28"/>
          <w:szCs w:val="28"/>
        </w:rPr>
        <w:t>, за нынешний год- 52431 чел. Осмотрами охвачено 100% от подлежащих. Целевой показатель по охвату населения профилактическими осмотрами достигнут</w:t>
      </w:r>
      <w:r w:rsidRPr="0032163A">
        <w:rPr>
          <w:rFonts w:ascii="Times New Roman" w:hAnsi="Times New Roman" w:cs="Times New Roman"/>
          <w:sz w:val="28"/>
          <w:szCs w:val="28"/>
        </w:rPr>
        <w:t>.</w:t>
      </w:r>
      <w:r w:rsidR="0032163A" w:rsidRPr="0032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63A">
        <w:rPr>
          <w:rFonts w:ascii="Times New Roman" w:hAnsi="Times New Roman" w:cs="Times New Roman"/>
          <w:sz w:val="28"/>
          <w:szCs w:val="28"/>
        </w:rPr>
        <w:t>По</w:t>
      </w:r>
      <w:r w:rsidRPr="00100271">
        <w:rPr>
          <w:rFonts w:ascii="Times New Roman" w:hAnsi="Times New Roman" w:cs="Times New Roman"/>
          <w:sz w:val="28"/>
          <w:szCs w:val="28"/>
        </w:rPr>
        <w:t xml:space="preserve"> результатам проведённых осмотров выявлено 32 115 заболеваний, из них 15 905 впервые (30,3%), по которым в дальнейшем установлено диспансерное наблюдение.  Из числа выявленных впервые заболеваний –83 (0,15%) злокачественных новообразований, 235 (0,44%) случаев сахарно</w:t>
      </w:r>
      <w:r w:rsidR="0032163A">
        <w:rPr>
          <w:rFonts w:ascii="Times New Roman" w:hAnsi="Times New Roman" w:cs="Times New Roman"/>
          <w:sz w:val="28"/>
          <w:szCs w:val="28"/>
        </w:rPr>
        <w:t>го диабета, 2 471 (4,7%) случай</w:t>
      </w:r>
      <w:r w:rsidRPr="00100271">
        <w:rPr>
          <w:rFonts w:ascii="Times New Roman" w:hAnsi="Times New Roman" w:cs="Times New Roman"/>
          <w:sz w:val="28"/>
          <w:szCs w:val="28"/>
        </w:rPr>
        <w:t xml:space="preserve">- заболевание системы кровообращения. </w:t>
      </w:r>
    </w:p>
    <w:p w14:paraId="36DEAE8A" w14:textId="525A5528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3.Привлечение врачебных кадров</w:t>
      </w:r>
    </w:p>
    <w:p w14:paraId="17DAC744" w14:textId="78A41C9D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Привлечение врачебных</w:t>
      </w:r>
      <w:r w:rsidR="0032163A">
        <w:rPr>
          <w:rFonts w:ascii="Times New Roman" w:hAnsi="Times New Roman" w:cs="Times New Roman"/>
          <w:sz w:val="28"/>
          <w:szCs w:val="28"/>
        </w:rPr>
        <w:t xml:space="preserve"> кадров-</w:t>
      </w:r>
      <w:r w:rsidRPr="00100271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в работе Администрации больницы. Работа ведётся совместно и с большой </w:t>
      </w:r>
      <w:r w:rsidR="0032163A">
        <w:rPr>
          <w:rFonts w:ascii="Times New Roman" w:hAnsi="Times New Roman" w:cs="Times New Roman"/>
          <w:sz w:val="28"/>
          <w:szCs w:val="28"/>
        </w:rPr>
        <w:t>поддержкой Администрации.</w:t>
      </w:r>
      <w:r w:rsidRPr="00100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B3B18" w14:textId="0EAD8943" w:rsidR="00100271" w:rsidRPr="00100271" w:rsidRDefault="0032163A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года в г</w:t>
      </w:r>
      <w:r w:rsidR="00100271" w:rsidRPr="00100271">
        <w:rPr>
          <w:rFonts w:ascii="Times New Roman" w:hAnsi="Times New Roman" w:cs="Times New Roman"/>
          <w:sz w:val="28"/>
          <w:szCs w:val="28"/>
        </w:rPr>
        <w:t>ородскую</w:t>
      </w:r>
      <w:r>
        <w:rPr>
          <w:rFonts w:ascii="Times New Roman" w:hAnsi="Times New Roman" w:cs="Times New Roman"/>
          <w:sz w:val="28"/>
          <w:szCs w:val="28"/>
        </w:rPr>
        <w:t xml:space="preserve"> больницу трудоустроено 37 врачей-специалистов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различного профиля.</w:t>
      </w:r>
    </w:p>
    <w:p w14:paraId="12B6D4D3" w14:textId="62D9E54C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>Укомплектованность специалистами – 97,5 % за счёт довольно большого процента совместительства, что</w:t>
      </w:r>
      <w:r w:rsidR="0032163A">
        <w:rPr>
          <w:rFonts w:ascii="Times New Roman" w:hAnsi="Times New Roman" w:cs="Times New Roman"/>
          <w:sz w:val="28"/>
          <w:szCs w:val="28"/>
        </w:rPr>
        <w:t xml:space="preserve">, конечно </w:t>
      </w:r>
      <w:r w:rsidRPr="00100271">
        <w:rPr>
          <w:rFonts w:ascii="Times New Roman" w:hAnsi="Times New Roman" w:cs="Times New Roman"/>
          <w:sz w:val="28"/>
          <w:szCs w:val="28"/>
        </w:rPr>
        <w:t xml:space="preserve">не улучшает качество оказываемой помощи, практикуется обучение специалистов по смежным специальностям (хирург – </w:t>
      </w:r>
      <w:proofErr w:type="spellStart"/>
      <w:r w:rsidRPr="00100271"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  <w:r w:rsidRPr="00100271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0B0F529C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По показателю обеспеченности врачами, в том числе и первичного звена, в расчёте на население - целевое значение не достигнуто. </w:t>
      </w:r>
    </w:p>
    <w:p w14:paraId="65E0E7BD" w14:textId="5C3E733E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На сегодняшний день потребность в специалистах составляет – 31 врач, из них необходимы 10 врачей </w:t>
      </w:r>
      <w:r w:rsidR="0032163A">
        <w:rPr>
          <w:rFonts w:ascii="Times New Roman" w:hAnsi="Times New Roman" w:cs="Times New Roman"/>
          <w:sz w:val="28"/>
          <w:szCs w:val="28"/>
        </w:rPr>
        <w:t>-</w:t>
      </w:r>
      <w:r w:rsidRPr="00100271">
        <w:rPr>
          <w:rFonts w:ascii="Times New Roman" w:hAnsi="Times New Roman" w:cs="Times New Roman"/>
          <w:sz w:val="28"/>
          <w:szCs w:val="28"/>
        </w:rPr>
        <w:t>терапевтов и 6 педиатров в первичное звено.</w:t>
      </w:r>
    </w:p>
    <w:p w14:paraId="76F3F8B6" w14:textId="375213F0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Программы по привлечению кадров</w:t>
      </w:r>
    </w:p>
    <w:p w14:paraId="08995C4D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 xml:space="preserve">В целях привлечения врачебных кадров действует ряд программ. </w:t>
      </w:r>
    </w:p>
    <w:p w14:paraId="7E76B356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 xml:space="preserve">Одной из программ является предоставление врачам служебного жилья и денежной компенсации за аренду жилых помещений. С 2020 года предоставляется ежемесячная компенсация за съем жилья, сейчас выплаты производятся 42 врачам. </w:t>
      </w:r>
    </w:p>
    <w:p w14:paraId="2ACAE161" w14:textId="7AFF637A" w:rsidR="00100271" w:rsidRPr="00100271" w:rsidRDefault="0032163A" w:rsidP="004C7FC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Коллективным договором г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ородско</w:t>
      </w:r>
      <w:r>
        <w:rPr>
          <w:rFonts w:ascii="Times New Roman" w:hAnsi="Times New Roman" w:cs="Times New Roman"/>
          <w:bCs/>
          <w:sz w:val="28"/>
          <w:szCs w:val="28"/>
        </w:rPr>
        <w:t>й больницы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 утверждены дополнительные выплаты молодым специалистам в размере 10 % от должностного оклада. </w:t>
      </w:r>
    </w:p>
    <w:p w14:paraId="443518E2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 xml:space="preserve">  Осуществляются дополнительные выплаты по федеральным и региональным программам, действующим на территории Республики Башкортостан, а именно: доведение уровня заработной платы до определенной «дорожной картой» (</w:t>
      </w:r>
      <w:proofErr w:type="spellStart"/>
      <w:r w:rsidRPr="00100271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100271">
        <w:rPr>
          <w:rFonts w:ascii="Times New Roman" w:hAnsi="Times New Roman" w:cs="Times New Roman"/>
          <w:bCs/>
          <w:sz w:val="28"/>
          <w:szCs w:val="28"/>
        </w:rPr>
        <w:t xml:space="preserve"> заработной платы с денежных средств ОМС).  </w:t>
      </w:r>
    </w:p>
    <w:p w14:paraId="44087D5A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>Действует Программа, разработанная Администрацией городского округа город Салават с привлечением благотворительного фонда «</w:t>
      </w:r>
      <w:proofErr w:type="spellStart"/>
      <w:r w:rsidRPr="00100271">
        <w:rPr>
          <w:rFonts w:ascii="Times New Roman" w:hAnsi="Times New Roman" w:cs="Times New Roman"/>
          <w:bCs/>
          <w:sz w:val="28"/>
          <w:szCs w:val="28"/>
        </w:rPr>
        <w:t>Юрматы</w:t>
      </w:r>
      <w:proofErr w:type="spellEnd"/>
      <w:r w:rsidRPr="00100271">
        <w:rPr>
          <w:rFonts w:ascii="Times New Roman" w:hAnsi="Times New Roman" w:cs="Times New Roman"/>
          <w:bCs/>
          <w:sz w:val="28"/>
          <w:szCs w:val="28"/>
        </w:rPr>
        <w:t>» по привлечению специалистов в первичное звено. В рамках данной программы   на 2019-2024 годы утверждена надбавка к заработной плате 6 врачам первичного звена (ежемесячная надбавка к заработной плате в размере 28 тыс. рублей в течение 3 лет).</w:t>
      </w:r>
    </w:p>
    <w:p w14:paraId="14BDCB14" w14:textId="37740205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0271">
        <w:rPr>
          <w:rFonts w:ascii="Times New Roman" w:hAnsi="Times New Roman" w:cs="Times New Roman"/>
          <w:bCs/>
          <w:sz w:val="28"/>
          <w:szCs w:val="28"/>
        </w:rPr>
        <w:t xml:space="preserve">Резюмируя выше сказанное, по итогам работы за 10 месяцев текущего года, достигнутые результаты свидетельствуют об эффективности реализуемых мероприятий программы «Охрана здоровья населения города Салават». Основные целевые показатели программы достигнуты. Имеется </w:t>
      </w:r>
      <w:proofErr w:type="spellStart"/>
      <w:r w:rsidRPr="00100271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100271">
        <w:rPr>
          <w:rFonts w:ascii="Times New Roman" w:hAnsi="Times New Roman" w:cs="Times New Roman"/>
          <w:bCs/>
          <w:sz w:val="28"/>
          <w:szCs w:val="28"/>
        </w:rPr>
        <w:t xml:space="preserve"> показателя</w:t>
      </w:r>
      <w:r w:rsidR="0032163A">
        <w:rPr>
          <w:rFonts w:ascii="Times New Roman" w:hAnsi="Times New Roman" w:cs="Times New Roman"/>
          <w:bCs/>
          <w:sz w:val="28"/>
          <w:szCs w:val="28"/>
        </w:rPr>
        <w:t xml:space="preserve"> по обеспеченности кадрами, что, конечно </w:t>
      </w:r>
      <w:r w:rsidRPr="00100271">
        <w:rPr>
          <w:rFonts w:ascii="Times New Roman" w:hAnsi="Times New Roman" w:cs="Times New Roman"/>
          <w:bCs/>
          <w:sz w:val="28"/>
          <w:szCs w:val="28"/>
        </w:rPr>
        <w:t>сказывается на загруженности работающих врачей и влияет на доступность медицинской помощи.</w:t>
      </w:r>
    </w:p>
    <w:p w14:paraId="50246886" w14:textId="4C0D70B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0271">
        <w:rPr>
          <w:rFonts w:ascii="Times New Roman" w:hAnsi="Times New Roman" w:cs="Times New Roman"/>
          <w:bCs/>
          <w:sz w:val="28"/>
          <w:szCs w:val="28"/>
        </w:rPr>
        <w:t xml:space="preserve">Успешная реализация муниципальной программы возможна </w:t>
      </w:r>
      <w:r w:rsidRPr="00100271">
        <w:rPr>
          <w:rFonts w:ascii="Times New Roman" w:hAnsi="Times New Roman" w:cs="Times New Roman"/>
          <w:sz w:val="28"/>
          <w:szCs w:val="28"/>
        </w:rPr>
        <w:t>только благодаря комплексным усилиям общества. За время дейс</w:t>
      </w:r>
      <w:r w:rsidR="0032163A">
        <w:rPr>
          <w:rFonts w:ascii="Times New Roman" w:hAnsi="Times New Roman" w:cs="Times New Roman"/>
          <w:sz w:val="28"/>
          <w:szCs w:val="28"/>
        </w:rPr>
        <w:t>твия муниципальной программы в г</w:t>
      </w:r>
      <w:r w:rsidRPr="00100271">
        <w:rPr>
          <w:rFonts w:ascii="Times New Roman" w:hAnsi="Times New Roman" w:cs="Times New Roman"/>
          <w:sz w:val="28"/>
          <w:szCs w:val="28"/>
        </w:rPr>
        <w:t xml:space="preserve">ороде проведена большая работа, позволяющая назвать </w:t>
      </w:r>
      <w:r w:rsidR="0032163A">
        <w:rPr>
          <w:rFonts w:ascii="Times New Roman" w:hAnsi="Times New Roman" w:cs="Times New Roman"/>
          <w:sz w:val="28"/>
          <w:szCs w:val="28"/>
        </w:rPr>
        <w:t xml:space="preserve">городской округ город </w:t>
      </w:r>
      <w:r w:rsidRPr="00100271">
        <w:rPr>
          <w:rFonts w:ascii="Times New Roman" w:hAnsi="Times New Roman" w:cs="Times New Roman"/>
          <w:sz w:val="28"/>
          <w:szCs w:val="28"/>
        </w:rPr>
        <w:t>Салават здоровым муниципалитетом.   Ведётся работа по направлениям:</w:t>
      </w:r>
    </w:p>
    <w:p w14:paraId="1FCAC79B" w14:textId="2B4625C3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здоровое питание</w:t>
      </w:r>
      <w:r w:rsidRPr="00100271">
        <w:rPr>
          <w:rFonts w:ascii="Times New Roman" w:hAnsi="Times New Roman" w:cs="Times New Roman"/>
          <w:sz w:val="28"/>
          <w:szCs w:val="28"/>
        </w:rPr>
        <w:t xml:space="preserve"> (проведение городских ярмарок, доступность в продаже свежих овощей и фруктов, организация здорового питания в школах, просвещение населения в области здорового питания путём размещения информации в социальных сетях, индивидуально</w:t>
      </w:r>
      <w:r w:rsidR="006A622F">
        <w:rPr>
          <w:rFonts w:ascii="Times New Roman" w:hAnsi="Times New Roman" w:cs="Times New Roman"/>
          <w:sz w:val="28"/>
          <w:szCs w:val="28"/>
        </w:rPr>
        <w:t>е и групповое</w:t>
      </w:r>
      <w:r w:rsidR="0032163A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100271">
        <w:rPr>
          <w:rFonts w:ascii="Times New Roman" w:hAnsi="Times New Roman" w:cs="Times New Roman"/>
          <w:sz w:val="28"/>
          <w:szCs w:val="28"/>
        </w:rPr>
        <w:t>, привлечение частных предпринимателей, производящих здоровые продукты к участию в общегородских праздниках)</w:t>
      </w:r>
    </w:p>
    <w:p w14:paraId="41584081" w14:textId="77777777" w:rsidR="00100271" w:rsidRPr="00100271" w:rsidRDefault="00100271" w:rsidP="004C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- </w:t>
      </w: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борьба с ожирением и повышением физической активности</w:t>
      </w:r>
      <w:r w:rsidRPr="00100271">
        <w:rPr>
          <w:rFonts w:ascii="Times New Roman" w:hAnsi="Times New Roman" w:cs="Times New Roman"/>
          <w:sz w:val="28"/>
          <w:szCs w:val="28"/>
        </w:rPr>
        <w:t>, начиная уже с детского возраста: в городе действует достаточное количество бассейнов и спортивных клубов, организованы пешеходные маршруты, велосипедные прогулки, участие в республиканских и общероссийских спортивных праздниках: «Лыжня России», «День физкультурника», «Кросс нации», всероссийский день ходьбы «10 000 шагов к жизни»</w:t>
      </w:r>
    </w:p>
    <w:p w14:paraId="71AF5B5E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486C17E" w14:textId="4753977F" w:rsidR="00100271" w:rsidRPr="00100271" w:rsidRDefault="00100271" w:rsidP="004C7F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0B9B432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2CF8F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FDC20" w14:textId="435D1F7D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C748A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03493" w14:textId="7CC5C57D" w:rsidR="00BC2D2C" w:rsidRPr="00BC2D2C" w:rsidRDefault="00BC2D2C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2D2C" w:rsidRPr="00BC2D2C" w:rsidSect="002A4A40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22A0"/>
    <w:multiLevelType w:val="hybridMultilevel"/>
    <w:tmpl w:val="FE383C6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</w:rPr>
    </w:lvl>
    <w:lvl w:ilvl="1" w:tplc="B28087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B01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BC26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A0D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2FB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468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90E5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22EC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973B66"/>
    <w:multiLevelType w:val="hybridMultilevel"/>
    <w:tmpl w:val="412A6052"/>
    <w:lvl w:ilvl="0" w:tplc="4B044A5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991"/>
    <w:multiLevelType w:val="hybridMultilevel"/>
    <w:tmpl w:val="4FDAC2B4"/>
    <w:lvl w:ilvl="0" w:tplc="0792EB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5A7B76"/>
    <w:multiLevelType w:val="hybridMultilevel"/>
    <w:tmpl w:val="70909EAE"/>
    <w:lvl w:ilvl="0" w:tplc="2AE2AA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0F16DE"/>
    <w:multiLevelType w:val="hybridMultilevel"/>
    <w:tmpl w:val="42726F44"/>
    <w:lvl w:ilvl="0" w:tplc="FE0C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D2C"/>
    <w:rsid w:val="00015495"/>
    <w:rsid w:val="00081700"/>
    <w:rsid w:val="000A1545"/>
    <w:rsid w:val="000E30B5"/>
    <w:rsid w:val="000E7CE6"/>
    <w:rsid w:val="00100271"/>
    <w:rsid w:val="00103657"/>
    <w:rsid w:val="00106C84"/>
    <w:rsid w:val="00131A02"/>
    <w:rsid w:val="00161001"/>
    <w:rsid w:val="00164E8F"/>
    <w:rsid w:val="0017153F"/>
    <w:rsid w:val="001A5502"/>
    <w:rsid w:val="001B051E"/>
    <w:rsid w:val="001B2054"/>
    <w:rsid w:val="002276FE"/>
    <w:rsid w:val="00293EA9"/>
    <w:rsid w:val="002A4A40"/>
    <w:rsid w:val="002A533B"/>
    <w:rsid w:val="002D5A74"/>
    <w:rsid w:val="00305A14"/>
    <w:rsid w:val="0032163A"/>
    <w:rsid w:val="00332882"/>
    <w:rsid w:val="00332997"/>
    <w:rsid w:val="00353B7E"/>
    <w:rsid w:val="0035663F"/>
    <w:rsid w:val="003A7CDC"/>
    <w:rsid w:val="003E3E8F"/>
    <w:rsid w:val="0040432E"/>
    <w:rsid w:val="00412722"/>
    <w:rsid w:val="004162E7"/>
    <w:rsid w:val="00417871"/>
    <w:rsid w:val="004C7FC9"/>
    <w:rsid w:val="00557CF5"/>
    <w:rsid w:val="00576A62"/>
    <w:rsid w:val="005834F0"/>
    <w:rsid w:val="005A2B8D"/>
    <w:rsid w:val="005B26D2"/>
    <w:rsid w:val="005D7B55"/>
    <w:rsid w:val="005E4D4C"/>
    <w:rsid w:val="005E718E"/>
    <w:rsid w:val="005F1B6A"/>
    <w:rsid w:val="006527E2"/>
    <w:rsid w:val="00665B78"/>
    <w:rsid w:val="00685AD2"/>
    <w:rsid w:val="006A622F"/>
    <w:rsid w:val="006D1596"/>
    <w:rsid w:val="00716D47"/>
    <w:rsid w:val="007344F0"/>
    <w:rsid w:val="00743903"/>
    <w:rsid w:val="00756B3C"/>
    <w:rsid w:val="007A1735"/>
    <w:rsid w:val="007A5ED3"/>
    <w:rsid w:val="007D54C8"/>
    <w:rsid w:val="007D60C7"/>
    <w:rsid w:val="008258FA"/>
    <w:rsid w:val="00830CD2"/>
    <w:rsid w:val="00870E22"/>
    <w:rsid w:val="008821E1"/>
    <w:rsid w:val="008B7585"/>
    <w:rsid w:val="008F213A"/>
    <w:rsid w:val="009055C0"/>
    <w:rsid w:val="009063A1"/>
    <w:rsid w:val="00906C8D"/>
    <w:rsid w:val="0092183C"/>
    <w:rsid w:val="0095729F"/>
    <w:rsid w:val="00971393"/>
    <w:rsid w:val="00AB4EC8"/>
    <w:rsid w:val="00AB57E7"/>
    <w:rsid w:val="00B051BB"/>
    <w:rsid w:val="00B272F6"/>
    <w:rsid w:val="00B35E1E"/>
    <w:rsid w:val="00B4182C"/>
    <w:rsid w:val="00B82BBB"/>
    <w:rsid w:val="00B97298"/>
    <w:rsid w:val="00BA11C8"/>
    <w:rsid w:val="00BC2D2C"/>
    <w:rsid w:val="00BC315F"/>
    <w:rsid w:val="00BD60B2"/>
    <w:rsid w:val="00C0294B"/>
    <w:rsid w:val="00C242A0"/>
    <w:rsid w:val="00C35790"/>
    <w:rsid w:val="00C43898"/>
    <w:rsid w:val="00C50C5E"/>
    <w:rsid w:val="00CA0B9B"/>
    <w:rsid w:val="00CA51D4"/>
    <w:rsid w:val="00CB33BD"/>
    <w:rsid w:val="00CB6C26"/>
    <w:rsid w:val="00CC0D04"/>
    <w:rsid w:val="00CE7B45"/>
    <w:rsid w:val="00CF06A7"/>
    <w:rsid w:val="00D0025F"/>
    <w:rsid w:val="00D02421"/>
    <w:rsid w:val="00D04E3E"/>
    <w:rsid w:val="00D32C1C"/>
    <w:rsid w:val="00D4163C"/>
    <w:rsid w:val="00D503F1"/>
    <w:rsid w:val="00D85256"/>
    <w:rsid w:val="00D9040D"/>
    <w:rsid w:val="00DA6B29"/>
    <w:rsid w:val="00DB13C7"/>
    <w:rsid w:val="00DD5B9A"/>
    <w:rsid w:val="00DE2565"/>
    <w:rsid w:val="00DE4E1C"/>
    <w:rsid w:val="00DF0AC7"/>
    <w:rsid w:val="00E2081A"/>
    <w:rsid w:val="00E519A8"/>
    <w:rsid w:val="00E90003"/>
    <w:rsid w:val="00E93C54"/>
    <w:rsid w:val="00ED67AB"/>
    <w:rsid w:val="00EE4E13"/>
    <w:rsid w:val="00F22CF5"/>
    <w:rsid w:val="00F3254E"/>
    <w:rsid w:val="00F408DD"/>
    <w:rsid w:val="00F41176"/>
    <w:rsid w:val="00F479FB"/>
    <w:rsid w:val="00F522E0"/>
    <w:rsid w:val="00F53DCB"/>
    <w:rsid w:val="00F9057F"/>
    <w:rsid w:val="00F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93E"/>
  <w15:docId w15:val="{F3B01959-D398-469C-AB8D-60D913A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Олеговна Калабугина</cp:lastModifiedBy>
  <cp:revision>150</cp:revision>
  <cp:lastPrinted>2024-12-24T10:04:00Z</cp:lastPrinted>
  <dcterms:created xsi:type="dcterms:W3CDTF">2020-09-10T11:42:00Z</dcterms:created>
  <dcterms:modified xsi:type="dcterms:W3CDTF">2024-12-24T10:10:00Z</dcterms:modified>
</cp:coreProperties>
</file>