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0FCAE" w14:textId="77777777" w:rsidR="00CA563C" w:rsidRPr="00CA563C" w:rsidRDefault="00CA563C" w:rsidP="00CA5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77EA5FCC" w14:textId="77777777" w:rsidR="00CA563C" w:rsidRPr="00CA563C" w:rsidRDefault="00CA563C" w:rsidP="00CA563C">
      <w:pPr>
        <w:spacing w:before="120" w:after="0" w:line="240" w:lineRule="auto"/>
        <w:ind w:left="43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756A04F9" w14:textId="74AD8463" w:rsidR="00CA563C" w:rsidRPr="00CA563C" w:rsidRDefault="00CA563C" w:rsidP="00CA563C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территориальной избирательной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город Салават </w:t>
      </w: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14:paraId="7F4DCC00" w14:textId="749101D8" w:rsidR="00CA563C" w:rsidRPr="00CA563C" w:rsidRDefault="00CA563C" w:rsidP="00CA563C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августа</w:t>
      </w: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148/2-5</w:t>
      </w:r>
    </w:p>
    <w:p w14:paraId="66980C77" w14:textId="77777777" w:rsidR="00CA563C" w:rsidRPr="00CA563C" w:rsidRDefault="00CA563C" w:rsidP="00CA563C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62A8F" w14:textId="77777777" w:rsidR="007F209D" w:rsidRDefault="007F209D" w:rsidP="007F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F209D">
        <w:rPr>
          <w:rFonts w:ascii="Times New Roman" w:eastAsia="Times New Roman" w:hAnsi="Times New Roman"/>
          <w:b/>
          <w:sz w:val="28"/>
          <w:szCs w:val="20"/>
          <w:lang w:eastAsia="ru-RU"/>
        </w:rPr>
        <w:t>Порядок приема, учета, анализа, обработки и хранения в</w:t>
      </w:r>
    </w:p>
    <w:p w14:paraId="722323CB" w14:textId="7A64CE95" w:rsidR="00CA563C" w:rsidRPr="00CA563C" w:rsidRDefault="007F209D" w:rsidP="007F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09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территориальной избирательной комиссии городского округа город Салават Республики Башкортостан предвыборных агитационных материалов и представляемых одновременно с ними документов кандидатов в период избирательной кампании по выборам депутатов Совета городского округа город Салават Республики Башкортостан шестого созыва </w:t>
      </w:r>
    </w:p>
    <w:p w14:paraId="15B707EE" w14:textId="77777777" w:rsidR="00CA563C" w:rsidRPr="00CA563C" w:rsidRDefault="00CA563C" w:rsidP="00CA563C">
      <w:pPr>
        <w:autoSpaceDE w:val="0"/>
        <w:autoSpaceDN w:val="0"/>
        <w:adjustRightInd w:val="0"/>
        <w:spacing w:before="240" w:after="120" w:line="360" w:lineRule="auto"/>
        <w:ind w:left="-142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63C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29B7E5DE" w14:textId="13BE49A4" w:rsidR="00CA563C" w:rsidRPr="00CA563C" w:rsidRDefault="00CA563C" w:rsidP="007F20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CA563C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Прием, учет, анализ, обработку и хранение предвыборных агитационных материалов и представляемых одновременно с ними документов кандидатов по выборам депутатов </w:t>
      </w:r>
      <w:r w:rsidR="007F209D" w:rsidRPr="007F209D">
        <w:rPr>
          <w:rFonts w:ascii="Times New Roman" w:eastAsia="Times New Roman" w:hAnsi="Times New Roman"/>
          <w:sz w:val="28"/>
          <w:szCs w:val="20"/>
          <w:lang w:eastAsia="ru-RU"/>
        </w:rPr>
        <w:t>Совета городского округа город Салават Республики Башкортостан шестого созыва</w:t>
      </w:r>
      <w:r w:rsidRPr="00CA563C">
        <w:rPr>
          <w:rFonts w:ascii="Times New Roman" w:eastAsia="Times New Roman" w:hAnsi="Times New Roman" w:cs="Times New Roman"/>
          <w:sz w:val="28"/>
          <w:szCs w:val="28"/>
        </w:rPr>
        <w:t xml:space="preserve"> организует член территориальной избирательной комиссии с правом решающего голоса, назначенный решением комиссии ответственным за прием, учет, анализ, обработку и хранение предвыборных агитационных материалов кандидатов (далее – ответственный член Комиссии).</w:t>
      </w:r>
    </w:p>
    <w:p w14:paraId="0EFA362A" w14:textId="77777777" w:rsidR="00CA563C" w:rsidRPr="00CA563C" w:rsidRDefault="00CA563C" w:rsidP="007F209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A563C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CA563C">
        <w:rPr>
          <w:rFonts w:ascii="Times New Roman" w:eastAsia="Times New Roman" w:hAnsi="Times New Roman" w:cs="Times New Roman"/>
          <w:sz w:val="28"/>
          <w:szCs w:val="28"/>
        </w:rPr>
        <w:tab/>
        <w:t xml:space="preserve"> В территориальную избирательную комиссию (далее – Комиссия) кандидатами, их уполномоченными представителями, уполномоченными представителями по финансовым вопросам, доверенными лицами (далее – уполномоченные лица) представляются экземпляры печатных предвыборных агитационных материалов или их копии, экземпляры аудиовизуальных предвыборных агитационных материалов, фотографии иных предвыборных агитационных материалов (далее – предвыборные агитационные материалы) до начала их распространения. 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материалы. </w:t>
      </w:r>
    </w:p>
    <w:p w14:paraId="2FFCABCC" w14:textId="77777777" w:rsidR="00CA563C" w:rsidRPr="00CA563C" w:rsidRDefault="00CA563C" w:rsidP="00CA563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B576FFA" w14:textId="6DF07717" w:rsidR="00CA563C" w:rsidRPr="007F209D" w:rsidRDefault="00CA563C" w:rsidP="007F20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6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 Организация работы по приему предвыборных агитационных</w:t>
      </w:r>
      <w:r w:rsidR="007F209D" w:rsidRPr="007F20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563C">
        <w:rPr>
          <w:rFonts w:ascii="Times New Roman" w:eastAsia="Times New Roman" w:hAnsi="Times New Roman" w:cs="Times New Roman"/>
          <w:b/>
          <w:sz w:val="28"/>
          <w:szCs w:val="28"/>
        </w:rPr>
        <w:t>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</w:t>
      </w:r>
    </w:p>
    <w:p w14:paraId="3D15B055" w14:textId="77777777" w:rsidR="007F209D" w:rsidRPr="00CA563C" w:rsidRDefault="007F209D" w:rsidP="007F20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46F8C82" w14:textId="77777777" w:rsidR="00CA563C" w:rsidRPr="00CA563C" w:rsidRDefault="00CA563C" w:rsidP="00CA563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3C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CA563C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Прием от уполномоченных лиц предвыборных агитационных материалов и представляемых одновременно с ними документов </w:t>
      </w:r>
      <w:r w:rsidRPr="00CA563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ответственный член Комиссии.</w:t>
      </w:r>
    </w:p>
    <w:p w14:paraId="366E2407" w14:textId="77777777" w:rsidR="00CA563C" w:rsidRPr="00CA563C" w:rsidRDefault="00CA563C" w:rsidP="00CA563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A563C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CA563C">
        <w:rPr>
          <w:rFonts w:ascii="Times New Roman" w:eastAsia="Times New Roman" w:hAnsi="Times New Roman" w:cs="Times New Roman"/>
          <w:sz w:val="28"/>
          <w:szCs w:val="28"/>
        </w:rPr>
        <w:tab/>
        <w:t xml:space="preserve">Ответственный член Комиссии проверяет комплектность представленных документов. В случае несоответствия направляемых документов и (или) материалов сопроводительному письму (отсутствие документов или их отдельных листов, приложений, повреждение документов или несоответствие номеров документов номерам, указанным на конверте) он информирует об этом факте уполномоченное лицо и рекомендует представить эти материалы и документы в Комиссию после устранения указанного несоответствия. </w:t>
      </w:r>
    </w:p>
    <w:p w14:paraId="3A69015A" w14:textId="77777777" w:rsidR="00CA563C" w:rsidRPr="00CA563C" w:rsidRDefault="00CA563C" w:rsidP="00CA563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представления в Комиссию материалов на внешних носителях (USB-флэш-накопитель), они передаются для осуществления проверки носителя на отсутствие на нем вредоносных программ системному администратору Комиссии. </w:t>
      </w:r>
    </w:p>
    <w:p w14:paraId="6965A73E" w14:textId="77777777" w:rsidR="00CA563C" w:rsidRPr="00CA563C" w:rsidRDefault="00CA563C" w:rsidP="00CA563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результатам указанной проверки на соответствующем носителе будет обнаружена вредоносная программа или на носителе не будут обнаружены данные, то ответственным членом Комиссии составляется акт в двух экземплярах (приложения №1,2). </w:t>
      </w:r>
    </w:p>
    <w:p w14:paraId="7BCDF5A6" w14:textId="77777777" w:rsidR="00CA563C" w:rsidRPr="00CA563C" w:rsidRDefault="00CA563C" w:rsidP="00CA563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указанных обстоятельствах уведомляется уполномоченное лицо – лично или письмом с приложением одного экземпляра акта.</w:t>
      </w:r>
    </w:p>
    <w:p w14:paraId="2755D260" w14:textId="77777777" w:rsidR="00CA563C" w:rsidRPr="00CA563C" w:rsidRDefault="00CA563C" w:rsidP="00CA563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3C">
        <w:rPr>
          <w:rFonts w:ascii="Times New Roman" w:eastAsia="Times New Roman" w:hAnsi="Times New Roman" w:cs="Times New Roman"/>
          <w:sz w:val="28"/>
          <w:szCs w:val="28"/>
        </w:rPr>
        <w:t>2.4.</w:t>
      </w:r>
      <w:r w:rsidRPr="00CA563C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совершения действий, указанных в пунктах 2.1. – 2.3. предвыборные агитационные материалы и представляемые одновременно с ними документы подлежат регистрации в соответствии с </w:t>
      </w:r>
      <w:r w:rsidRPr="00CA5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Инструкцией по делопроизводству Комиссии (далее – Инструкция). </w:t>
      </w:r>
    </w:p>
    <w:p w14:paraId="22746419" w14:textId="77777777" w:rsidR="00CA563C" w:rsidRPr="00CA563C" w:rsidRDefault="00CA563C" w:rsidP="00CA563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Ответственный член Комиссии не позднее трех часов с момента представления уполномоченным лицом предвыборных агитационных материалов выносит в письменной форме заключение о соответствии (несоответствии) </w:t>
      </w: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представленных агитационных материалов требованиям законодательства о порядке изготовления агитационных материалов.</w:t>
      </w:r>
    </w:p>
    <w:p w14:paraId="6630E7E6" w14:textId="77777777" w:rsidR="00CA563C" w:rsidRPr="007F209D" w:rsidRDefault="00CA563C" w:rsidP="00CA563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О выявленных нарушениях законодательства ответственный член Комиссии докладывает председателю Комиссии, согласует с ним вопрос и сроки направления соответствующего уведомления кандидату, его уполномоченному лицу. По согласованию с председателем Комиссии вопрос о выявленных нарушениях законодательства может быть вынесен на рассмотрение Рабочей группы </w:t>
      </w:r>
      <w:r w:rsidRPr="007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информационным спорам и иным вопросам информационного обеспечения выборов.</w:t>
      </w:r>
    </w:p>
    <w:p w14:paraId="7D3D5411" w14:textId="77777777" w:rsidR="00CA563C" w:rsidRPr="00CA563C" w:rsidRDefault="00CA563C" w:rsidP="00CA563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7F209D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7F2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случае выявления в ходе процедуры приема и анализа предвыборных агитационных материалов нарушений требований частей 3-7 статьи 67 Кодекса </w:t>
      </w: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в течение дня представления предвыборного агитационного материала, либо поступления информации из участковых избирательных комиссий, иных органов подготавливается проект представления Комиссии о пресечении противоправной агитационной деятельности, об изъятии незаконных предвыборных агитационных материалов и о привлечении виновных лиц к ответственности. Представление подписывается председателем Комиссии и в вышеуказанный срок направляется в правоохранительные органы.</w:t>
      </w:r>
    </w:p>
    <w:p w14:paraId="07C53EC7" w14:textId="33483603" w:rsidR="00CA563C" w:rsidRPr="00CA563C" w:rsidRDefault="00CA563C" w:rsidP="007F20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После проверки соблюдения требований законодательства о выборах при изготовлении печатного агитационного материала и отсутствии нарушений законодательства сведения о представленных в избирательную комиссию печатных агитационных материалах и их электронные образы вводятся в задачу «Агитация» ГАС «Выборы».</w:t>
      </w:r>
    </w:p>
    <w:p w14:paraId="35061164" w14:textId="77777777" w:rsidR="00CA563C" w:rsidRPr="00CA563C" w:rsidRDefault="00CA563C" w:rsidP="007F209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 Учет и хранение предвыборных агитационных материалов, </w:t>
      </w:r>
      <w:r w:rsidRPr="00CA5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представляемых в Комиссию</w:t>
      </w:r>
    </w:p>
    <w:p w14:paraId="44D5EC8A" w14:textId="77777777" w:rsidR="00CA563C" w:rsidRPr="00CA563C" w:rsidRDefault="00CA563C" w:rsidP="007F209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pacing w:val="3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Arial"/>
          <w:color w:val="000000"/>
          <w:spacing w:val="3"/>
          <w:sz w:val="28"/>
          <w:szCs w:val="28"/>
          <w:lang w:eastAsia="ru-RU"/>
        </w:rPr>
        <w:t>3.1.</w:t>
      </w:r>
      <w:r w:rsidRPr="00CA563C">
        <w:rPr>
          <w:rFonts w:ascii="Times New Roman" w:eastAsia="Times New Roman" w:hAnsi="Times New Roman" w:cs="Arial"/>
          <w:color w:val="000000"/>
          <w:spacing w:val="3"/>
          <w:sz w:val="28"/>
          <w:szCs w:val="28"/>
          <w:lang w:eastAsia="ru-RU"/>
        </w:rPr>
        <w:tab/>
        <w:t>Учет предвыборных агитационных материалов и представляемых одновременно с ними документов осуществляется ответственным членом Комиссии по указанной в приложении №3 к настоящему Порядку форме (в машиночитаемом виде и на бумажном носителе).</w:t>
      </w:r>
    </w:p>
    <w:p w14:paraId="5DE04159" w14:textId="77777777" w:rsidR="00CA563C" w:rsidRPr="00CA563C" w:rsidRDefault="00CA563C" w:rsidP="007F20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pacing w:val="3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Arial"/>
          <w:color w:val="000000"/>
          <w:spacing w:val="3"/>
          <w:sz w:val="28"/>
          <w:szCs w:val="28"/>
          <w:lang w:eastAsia="ru-RU"/>
        </w:rPr>
        <w:t>3.2.</w:t>
      </w:r>
      <w:r w:rsidRPr="00CA563C">
        <w:rPr>
          <w:rFonts w:ascii="Times New Roman" w:eastAsia="Times New Roman" w:hAnsi="Times New Roman" w:cs="Arial"/>
          <w:color w:val="000000"/>
          <w:spacing w:val="3"/>
          <w:sz w:val="28"/>
          <w:szCs w:val="28"/>
          <w:lang w:eastAsia="ru-RU"/>
        </w:rPr>
        <w:tab/>
        <w:t xml:space="preserve">Оригиналы, представленных агитационных материалов хранятся в отдельной папке для каждого кандидата в депутаты представительного органа </w:t>
      </w:r>
      <w:r w:rsidRPr="00CA563C">
        <w:rPr>
          <w:rFonts w:ascii="Times New Roman" w:eastAsia="Times New Roman" w:hAnsi="Times New Roman" w:cs="Arial"/>
          <w:color w:val="000000"/>
          <w:spacing w:val="3"/>
          <w:sz w:val="28"/>
          <w:szCs w:val="28"/>
          <w:lang w:eastAsia="ru-RU"/>
        </w:rPr>
        <w:lastRenderedPageBreak/>
        <w:t>местного самоуправления в соответствии с номенклатурой дел Комиссии.</w:t>
      </w:r>
    </w:p>
    <w:p w14:paraId="7F37DDA7" w14:textId="77777777" w:rsidR="00CA563C" w:rsidRPr="00CA563C" w:rsidRDefault="00CA563C" w:rsidP="007F209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pacing w:val="3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Arial"/>
          <w:color w:val="000000"/>
          <w:spacing w:val="3"/>
          <w:sz w:val="28"/>
          <w:szCs w:val="28"/>
          <w:lang w:eastAsia="ru-RU"/>
        </w:rPr>
        <w:t>3.3.</w:t>
      </w:r>
      <w:r w:rsidRPr="00CA563C">
        <w:rPr>
          <w:rFonts w:ascii="Times New Roman" w:eastAsia="Times New Roman" w:hAnsi="Times New Roman" w:cs="Arial"/>
          <w:color w:val="000000"/>
          <w:spacing w:val="3"/>
          <w:sz w:val="28"/>
          <w:szCs w:val="28"/>
          <w:lang w:eastAsia="ru-RU"/>
        </w:rPr>
        <w:tab/>
        <w:t>В течение месяца после официального опубликования результатов выборов документы по результатам приема и анализа агитационных материалов кандидатов передаются в архив в соответствии с Порядком хранения и передачи в архивы документов, связанных с подготовкой и проведением выборов.</w:t>
      </w:r>
    </w:p>
    <w:p w14:paraId="1D3F4635" w14:textId="77777777" w:rsidR="00CA563C" w:rsidRPr="00CA563C" w:rsidRDefault="00CA563C" w:rsidP="001416AD">
      <w:pPr>
        <w:keepNext/>
        <w:keepLines/>
        <w:tabs>
          <w:tab w:val="left" w:pos="8505"/>
          <w:tab w:val="left" w:pos="878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 Организация проверки представленных агитационных материалов </w:t>
      </w:r>
    </w:p>
    <w:p w14:paraId="1F752085" w14:textId="77777777" w:rsidR="00CA563C" w:rsidRPr="00CA563C" w:rsidRDefault="00CA563C" w:rsidP="001416AD">
      <w:pPr>
        <w:keepNext/>
        <w:keepLines/>
        <w:tabs>
          <w:tab w:val="left" w:pos="8505"/>
          <w:tab w:val="lef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соответствие требованиям законодательства о финансировании избирательных кампаний</w:t>
      </w:r>
    </w:p>
    <w:p w14:paraId="6B6D49CF" w14:textId="77777777" w:rsidR="00CA563C" w:rsidRPr="00CA563C" w:rsidRDefault="00CA563C" w:rsidP="00CA563C">
      <w:pPr>
        <w:suppressAutoHyphens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4.1.Для проведения проверки оплаты предвыборного агитационного материала из средств соответствующего избирательного фонда в Контрольно-ревизионную службу при территориальной избирательной комиссии (далее – КРС) передается на бумажном носителе распечатка информации о представленных кандидатами предвыборных агитационных материалах по прилагаемой к настоящему Порядку форме (приложение №4). </w:t>
      </w:r>
    </w:p>
    <w:p w14:paraId="5AB56C94" w14:textId="77777777" w:rsidR="00CA563C" w:rsidRPr="00CA563C" w:rsidRDefault="00CA563C" w:rsidP="00CA563C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Руководитель КРС в течение банковского дня с момента получения необходимой информации осуществляет проверку оплаты изготовления данных агитационных материалов из средств соответствующего избирательного фонда с использованием задачи «Контроль избирательных фондов» (далее КИФ) ГАС «Выборы». В случае отсутствия информации в КИФ, направляет запрос в соответствующее отделение ПАО «Сбербанк России» для подтверждения факта оплаты изготовления агитационных материалов из средств соответствующего избирательного фонда. </w:t>
      </w:r>
    </w:p>
    <w:p w14:paraId="7D1356A2" w14:textId="77777777" w:rsidR="00CA563C" w:rsidRPr="00CA563C" w:rsidRDefault="00CA563C" w:rsidP="00CA563C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После получения результатов проверки руководитель КРС информирует секретаря Комиссии о результатах проведенной проверки и вносит соответствующую запись в форму внутреннего учета (на бумажном носителе). В случае выявления нарушения он незамедлительно докладывает об этом председателю Комиссии.</w:t>
      </w:r>
    </w:p>
    <w:p w14:paraId="69EF8221" w14:textId="77777777" w:rsidR="00CA563C" w:rsidRPr="00CA563C" w:rsidRDefault="00CA563C" w:rsidP="00CA563C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6020CE" w14:textId="77777777" w:rsidR="00CA563C" w:rsidRPr="00CA563C" w:rsidRDefault="00CA563C" w:rsidP="00CA563C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73922" w14:textId="77777777" w:rsidR="00CA563C" w:rsidRPr="00CA563C" w:rsidRDefault="00CA563C" w:rsidP="00CA563C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78CF7" w14:textId="77777777" w:rsidR="00CA563C" w:rsidRPr="00CA563C" w:rsidRDefault="00CA563C" w:rsidP="00CA563C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7C1BC" w14:textId="77777777" w:rsidR="00CA563C" w:rsidRPr="00CA563C" w:rsidRDefault="00CA563C" w:rsidP="00CA563C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0399D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4A44F16C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14:paraId="51EEAA01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проверки представленного внешнего носителя</w:t>
      </w:r>
    </w:p>
    <w:p w14:paraId="4BFCC62C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(дата)_____2024 г.</w:t>
      </w:r>
    </w:p>
    <w:p w14:paraId="3B4B6FB5" w14:textId="77777777" w:rsidR="00CA563C" w:rsidRPr="00CA563C" w:rsidRDefault="00CA563C" w:rsidP="00CA563C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</w:t>
      </w:r>
    </w:p>
    <w:p w14:paraId="580957E8" w14:textId="77777777" w:rsidR="00CA563C" w:rsidRPr="00CA563C" w:rsidRDefault="00CA563C" w:rsidP="00CA563C">
      <w:pPr>
        <w:suppressAutoHyphens/>
        <w:spacing w:after="0" w:line="240" w:lineRule="auto"/>
        <w:ind w:left="15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(статус) лица, проводящего проверку)</w:t>
      </w:r>
    </w:p>
    <w:p w14:paraId="797E415C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E5DB4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настоящий Акт о том, что при проведении проверки агитационного материала, представленного </w:t>
      </w:r>
    </w:p>
    <w:p w14:paraId="057DC931" w14:textId="77777777" w:rsidR="00CA563C" w:rsidRPr="00CA563C" w:rsidRDefault="00CA563C" w:rsidP="00CA56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59C0796" w14:textId="77777777" w:rsidR="00CA563C" w:rsidRPr="00CA563C" w:rsidRDefault="00CA563C" w:rsidP="00CA563C">
      <w:pPr>
        <w:suppressAutoHyphens/>
        <w:spacing w:after="0" w:line="240" w:lineRule="auto"/>
        <w:ind w:left="8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избирательного объединения, ФИО кандидата)</w:t>
      </w:r>
    </w:p>
    <w:p w14:paraId="0DDBD478" w14:textId="77777777" w:rsidR="00CA563C" w:rsidRPr="00CA563C" w:rsidRDefault="00CA563C" w:rsidP="00CA563C">
      <w:pPr>
        <w:suppressAutoHyphens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</w:t>
      </w:r>
    </w:p>
    <w:p w14:paraId="4572C44E" w14:textId="77777777" w:rsidR="00CA563C" w:rsidRPr="00CA563C" w:rsidRDefault="00CA563C" w:rsidP="00CA56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5EE1AD77" w14:textId="77777777" w:rsidR="00CA563C" w:rsidRPr="00CA563C" w:rsidRDefault="00CA563C" w:rsidP="00CA563C">
      <w:pPr>
        <w:suppressAutoHyphens/>
        <w:spacing w:after="0" w:line="240" w:lineRule="auto"/>
        <w:ind w:left="22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избирательной кампании)</w:t>
      </w:r>
    </w:p>
    <w:p w14:paraId="12C892DD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6D997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содержащегося на внешнем носителе </w:t>
      </w:r>
    </w:p>
    <w:p w14:paraId="08C63D44" w14:textId="77777777" w:rsidR="00CA563C" w:rsidRPr="00CA563C" w:rsidRDefault="00CA563C" w:rsidP="00CA563C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______________________________________________________________,</w:t>
      </w:r>
    </w:p>
    <w:p w14:paraId="38291127" w14:textId="77777777" w:rsidR="00CA563C" w:rsidRPr="00CA563C" w:rsidRDefault="00CA563C" w:rsidP="00CA563C">
      <w:pPr>
        <w:suppressAutoHyphens/>
        <w:spacing w:after="0" w:line="240" w:lineRule="auto"/>
        <w:ind w:left="36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1A83C888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0C832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обнаружена вредоносная программа (вирус).</w:t>
      </w:r>
    </w:p>
    <w:p w14:paraId="34FD083F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229CF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в двух экземплярах.</w:t>
      </w:r>
    </w:p>
    <w:p w14:paraId="217ACAA2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______________(подпись)</w:t>
      </w:r>
    </w:p>
    <w:p w14:paraId="7EBC79EC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______________(подпись)</w:t>
      </w:r>
    </w:p>
    <w:p w14:paraId="1F9E411B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471B7" w14:textId="77777777" w:rsidR="00CA563C" w:rsidRPr="00CA563C" w:rsidRDefault="00CA563C" w:rsidP="00CA563C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B4935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433EC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8AB04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5A0D3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7BFD5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7078C" w14:textId="77777777" w:rsidR="00CA563C" w:rsidRPr="00CA563C" w:rsidRDefault="00CA563C" w:rsidP="00CA563C">
      <w:pPr>
        <w:suppressAutoHyphens/>
        <w:spacing w:after="0" w:line="360" w:lineRule="auto"/>
        <w:ind w:left="72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6AE47" w14:textId="77777777" w:rsidR="001416AD" w:rsidRDefault="001416AD" w:rsidP="00CA563C">
      <w:pPr>
        <w:suppressAutoHyphens/>
        <w:spacing w:after="0" w:line="360" w:lineRule="auto"/>
        <w:ind w:left="7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661CB" w14:textId="77777777" w:rsidR="001416AD" w:rsidRDefault="001416AD" w:rsidP="00CA563C">
      <w:pPr>
        <w:suppressAutoHyphens/>
        <w:spacing w:after="0" w:line="360" w:lineRule="auto"/>
        <w:ind w:left="7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97666" w14:textId="5A289FC6" w:rsidR="00CA563C" w:rsidRPr="00CA563C" w:rsidRDefault="00CA563C" w:rsidP="00CA563C">
      <w:pPr>
        <w:suppressAutoHyphens/>
        <w:spacing w:after="0" w:line="360" w:lineRule="auto"/>
        <w:ind w:left="7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14:paraId="16002084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EBF69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14:paraId="1BB1C789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проверки представленного внешнего носителя</w:t>
      </w:r>
    </w:p>
    <w:p w14:paraId="0E408294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</w:t>
      </w:r>
      <w:proofErr w:type="gramStart"/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_____________2024 г.</w:t>
      </w:r>
    </w:p>
    <w:p w14:paraId="5BDE16E5" w14:textId="77777777" w:rsidR="00CA563C" w:rsidRPr="00CA563C" w:rsidRDefault="00CA563C" w:rsidP="00CA563C">
      <w:pPr>
        <w:suppressAutoHyphens/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</w:t>
      </w:r>
    </w:p>
    <w:p w14:paraId="722132B2" w14:textId="77777777" w:rsidR="00CA563C" w:rsidRPr="00CA563C" w:rsidRDefault="00CA563C" w:rsidP="00CA563C">
      <w:pPr>
        <w:suppressAutoHyphens/>
        <w:spacing w:after="0" w:line="240" w:lineRule="auto"/>
        <w:ind w:left="15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A563C">
        <w:rPr>
          <w:rFonts w:ascii="Times New Roman" w:eastAsia="Times New Roman" w:hAnsi="Times New Roman" w:cs="Times New Roman"/>
          <w:lang w:eastAsia="ru-RU"/>
        </w:rPr>
        <w:t>(ФИО, должность (статус) лица, проводящего проверку)</w:t>
      </w:r>
    </w:p>
    <w:p w14:paraId="7EA2B8E4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9C0820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настоящий Акт о том, что при проведении проверки агитационного материала, представленного </w:t>
      </w:r>
    </w:p>
    <w:p w14:paraId="53F092DC" w14:textId="77777777" w:rsidR="00CA563C" w:rsidRPr="00CA563C" w:rsidRDefault="00CA563C" w:rsidP="00CA563C">
      <w:pPr>
        <w:suppressAutoHyphens/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4F3ED697" w14:textId="77777777" w:rsidR="00CA563C" w:rsidRPr="00CA563C" w:rsidRDefault="00CA563C" w:rsidP="00CA563C">
      <w:pPr>
        <w:suppressAutoHyphens/>
        <w:spacing w:after="0" w:line="240" w:lineRule="auto"/>
        <w:ind w:left="155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3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избирательного объединения, ФИО кандидата)</w:t>
      </w:r>
    </w:p>
    <w:p w14:paraId="38BB4270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</w:t>
      </w:r>
    </w:p>
    <w:p w14:paraId="02F08587" w14:textId="77777777" w:rsidR="00CA563C" w:rsidRPr="00CA563C" w:rsidRDefault="00CA563C" w:rsidP="00CA563C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5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____________________________________________________________________,</w:t>
      </w:r>
    </w:p>
    <w:p w14:paraId="603F406B" w14:textId="77777777" w:rsidR="00CA563C" w:rsidRPr="00CA563C" w:rsidRDefault="00CA563C" w:rsidP="00CA563C">
      <w:pPr>
        <w:suppressAutoHyphens/>
        <w:spacing w:after="0" w:line="240" w:lineRule="auto"/>
        <w:ind w:left="2973"/>
        <w:jc w:val="both"/>
        <w:rPr>
          <w:rFonts w:ascii="Times New Roman" w:eastAsia="Times New Roman" w:hAnsi="Times New Roman" w:cs="Times New Roman"/>
          <w:lang w:eastAsia="ru-RU"/>
        </w:rPr>
      </w:pPr>
      <w:r w:rsidRPr="00CA563C">
        <w:rPr>
          <w:rFonts w:ascii="Times New Roman" w:eastAsia="Times New Roman" w:hAnsi="Times New Roman" w:cs="Times New Roman"/>
          <w:lang w:eastAsia="ru-RU"/>
        </w:rPr>
        <w:t>(наименование избирательной кампании)</w:t>
      </w:r>
    </w:p>
    <w:p w14:paraId="75972170" w14:textId="77777777" w:rsidR="00CA563C" w:rsidRPr="00CA563C" w:rsidRDefault="00CA563C" w:rsidP="00CA563C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EAAAFE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содержащегося на внешнем носителе </w:t>
      </w:r>
    </w:p>
    <w:p w14:paraId="62AE9BED" w14:textId="77777777" w:rsidR="00CA563C" w:rsidRPr="00CA563C" w:rsidRDefault="00CA563C" w:rsidP="00CA563C">
      <w:pPr>
        <w:suppressAutoHyphens/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______________________________________________________________, </w:t>
      </w:r>
    </w:p>
    <w:p w14:paraId="5FA0C224" w14:textId="77777777" w:rsidR="00CA563C" w:rsidRPr="00CA563C" w:rsidRDefault="00CA563C" w:rsidP="00CA563C">
      <w:pPr>
        <w:suppressAutoHyphens/>
        <w:spacing w:after="0" w:line="240" w:lineRule="auto"/>
        <w:ind w:left="226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A563C">
        <w:rPr>
          <w:rFonts w:ascii="Times New Roman" w:eastAsia="Times New Roman" w:hAnsi="Times New Roman" w:cs="Times New Roman"/>
          <w:lang w:eastAsia="ru-RU"/>
        </w:rPr>
        <w:t>(наименование)</w:t>
      </w:r>
    </w:p>
    <w:p w14:paraId="3544C043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0945F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заявленной электронной версии материала не обнаружено/доступ к электронному носителю невозможен (носитель не открывается).</w:t>
      </w:r>
    </w:p>
    <w:p w14:paraId="2A98C5AC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42410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в двух экземплярах.</w:t>
      </w:r>
    </w:p>
    <w:p w14:paraId="684845B6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______________(подпись)</w:t>
      </w:r>
    </w:p>
    <w:p w14:paraId="37A75765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______________(подпись)</w:t>
      </w:r>
    </w:p>
    <w:p w14:paraId="29D09655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41026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C5067" w14:textId="77777777" w:rsidR="00CA563C" w:rsidRPr="00CA563C" w:rsidRDefault="00CA563C" w:rsidP="00CA563C">
      <w:pPr>
        <w:suppressAutoHyphens/>
        <w:spacing w:after="0" w:line="36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56E03" w14:textId="77777777" w:rsidR="00CA563C" w:rsidRPr="00CA563C" w:rsidRDefault="00CA563C" w:rsidP="00CA56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563C" w:rsidRPr="00CA563C" w:rsidSect="007F209D">
          <w:pgSz w:w="11906" w:h="16838"/>
          <w:pgMar w:top="851" w:right="707" w:bottom="851" w:left="1418" w:header="709" w:footer="709" w:gutter="0"/>
          <w:cols w:space="720"/>
        </w:sectPr>
      </w:pPr>
    </w:p>
    <w:p w14:paraId="3B8A46D3" w14:textId="7D0E51DF" w:rsidR="00CA563C" w:rsidRDefault="00CA563C" w:rsidP="00CA563C">
      <w:pPr>
        <w:autoSpaceDE w:val="0"/>
        <w:autoSpaceDN w:val="0"/>
        <w:adjustRightInd w:val="0"/>
        <w:spacing w:after="0" w:line="400" w:lineRule="exact"/>
        <w:ind w:left="7788" w:firstLine="2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1416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967D0B9" w14:textId="77777777" w:rsidR="001416AD" w:rsidRPr="00CA563C" w:rsidRDefault="001416AD" w:rsidP="00CA563C">
      <w:pPr>
        <w:autoSpaceDE w:val="0"/>
        <w:autoSpaceDN w:val="0"/>
        <w:adjustRightInd w:val="0"/>
        <w:spacing w:after="0" w:line="400" w:lineRule="exact"/>
        <w:ind w:left="7788" w:firstLine="2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B3A34" w14:textId="18904860" w:rsidR="001416AD" w:rsidRPr="001416AD" w:rsidRDefault="001416AD" w:rsidP="00141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CA563C"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416AD">
        <w:rPr>
          <w:rFonts w:ascii="Times New Roman" w:eastAsia="Times New Roman" w:hAnsi="Times New Roman"/>
          <w:sz w:val="24"/>
          <w:szCs w:val="24"/>
          <w:lang w:eastAsia="ru-RU"/>
        </w:rPr>
        <w:t>Порядк</w:t>
      </w:r>
      <w:r w:rsidRPr="001416A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416A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приема, учета, анализа, обработки и хранения в</w:t>
      </w:r>
    </w:p>
    <w:p w14:paraId="5874DB12" w14:textId="77777777" w:rsidR="001416AD" w:rsidRPr="00CA563C" w:rsidRDefault="001416AD" w:rsidP="001416A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AD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территориальной избирательной комиссии городского округа город Салават Республики Башкортостан предвыборных агитационных материалов и представляемых одновременно с ними документов кандидатов в период избирательной кампании по выборам депутатов Совета городского округа город Салават Республики Башкортостан шестого созыва </w:t>
      </w:r>
    </w:p>
    <w:p w14:paraId="24AC520F" w14:textId="77777777" w:rsidR="00CA563C" w:rsidRPr="00CA563C" w:rsidRDefault="00CA563C" w:rsidP="00CA563C">
      <w:pPr>
        <w:autoSpaceDE w:val="0"/>
        <w:autoSpaceDN w:val="0"/>
        <w:adjustRightInd w:val="0"/>
        <w:spacing w:before="240" w:after="240" w:line="400" w:lineRule="exact"/>
        <w:ind w:firstLine="2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предвыборных агитационных материалов</w:t>
      </w:r>
    </w:p>
    <w:p w14:paraId="01D4C4CC" w14:textId="77777777" w:rsidR="00CA563C" w:rsidRPr="00CA563C" w:rsidRDefault="00CA563C" w:rsidP="00CA563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  <w:vertAlign w:val="superscript"/>
          <w:lang w:eastAsia="ru-RU"/>
        </w:rPr>
      </w:pPr>
      <w:r w:rsidRPr="00CA563C">
        <w:rPr>
          <w:rFonts w:ascii="Times New Roman" w:eastAsia="Times New Roman" w:hAnsi="Times New Roman" w:cs="Times New Roman"/>
          <w:i/>
          <w:spacing w:val="-2"/>
          <w:sz w:val="28"/>
          <w:szCs w:val="28"/>
          <w:vertAlign w:val="superscript"/>
          <w:lang w:eastAsia="ru-RU"/>
        </w:rPr>
        <w:t>(фамилия, имя, отчество кандидата в депутаты представительного органа местного самоуправления)</w:t>
      </w:r>
    </w:p>
    <w:p w14:paraId="5A8E7430" w14:textId="77777777" w:rsidR="00CA563C" w:rsidRPr="00CA563C" w:rsidRDefault="00CA563C" w:rsidP="00CA563C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tbl>
      <w:tblPr>
        <w:tblW w:w="1485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160"/>
        <w:gridCol w:w="1920"/>
        <w:gridCol w:w="1921"/>
        <w:gridCol w:w="759"/>
        <w:gridCol w:w="600"/>
        <w:gridCol w:w="640"/>
        <w:gridCol w:w="800"/>
        <w:gridCol w:w="940"/>
        <w:gridCol w:w="1704"/>
        <w:gridCol w:w="1552"/>
        <w:gridCol w:w="880"/>
        <w:gridCol w:w="1000"/>
      </w:tblGrid>
      <w:tr w:rsidR="00CA563C" w:rsidRPr="00CA563C" w14:paraId="37CF480D" w14:textId="77777777" w:rsidTr="001416AD">
        <w:trPr>
          <w:cantSplit/>
          <w:trHeight w:val="766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4A7B" w14:textId="77777777" w:rsidR="00CA563C" w:rsidRPr="001416AD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</w:pPr>
            <w:proofErr w:type="spellStart"/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t>Вх</w:t>
            </w:r>
            <w:proofErr w:type="spellEnd"/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t xml:space="preserve"> № </w:t>
            </w: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br/>
              <w:t xml:space="preserve">ТИК </w:t>
            </w:r>
          </w:p>
          <w:p w14:paraId="40921086" w14:textId="77777777" w:rsidR="00CA563C" w:rsidRPr="001416AD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</w:pP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t xml:space="preserve"> и дата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0B53A" w14:textId="77777777" w:rsidR="00CA563C" w:rsidRPr="001416AD" w:rsidRDefault="00CA563C" w:rsidP="00CA56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</w:pP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t xml:space="preserve">Внутренний </w:t>
            </w: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br/>
              <w:t>регистрационный № агитационного материала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5606" w14:textId="77777777" w:rsidR="00CA563C" w:rsidRPr="001416AD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</w:pP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t xml:space="preserve">Фамилия члена ТИК, подготовившего заключение об агитационном материале </w:t>
            </w:r>
          </w:p>
          <w:p w14:paraId="264209DC" w14:textId="77777777" w:rsidR="00CA563C" w:rsidRPr="001416AD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030E" w14:textId="77777777" w:rsidR="00CA563C" w:rsidRPr="001416AD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</w:pP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t xml:space="preserve">Сведения об оплате из </w:t>
            </w: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br/>
              <w:t xml:space="preserve">избирательного </w:t>
            </w: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br/>
              <w:t>фонда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5F0A86" w14:textId="77777777" w:rsidR="00CA563C" w:rsidRPr="001416AD" w:rsidRDefault="00CA563C" w:rsidP="00CA56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</w:pP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t xml:space="preserve">Вид агитационного </w:t>
            </w: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br/>
              <w:t>материала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2399BC" w14:textId="77777777" w:rsidR="00CA563C" w:rsidRPr="001416AD" w:rsidRDefault="00CA563C" w:rsidP="00CA56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</w:pP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t>Тираж (кол-во экз.)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CDA015" w14:textId="77777777" w:rsidR="00CA563C" w:rsidRPr="001416AD" w:rsidRDefault="00CA563C" w:rsidP="00CA56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</w:pP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t>Дата выпуска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8316DA" w14:textId="77777777" w:rsidR="00CA563C" w:rsidRPr="001416AD" w:rsidRDefault="00CA563C" w:rsidP="00CA56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</w:pP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t>Сведения об изготовителе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107F23" w14:textId="77777777" w:rsidR="00CA563C" w:rsidRPr="001416AD" w:rsidRDefault="00CA563C" w:rsidP="00CA56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</w:pP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t>Сведения о заказчике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48AA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563C">
              <w:rPr>
                <w:rFonts w:ascii="Times New Roman" w:eastAsia="Times New Roman" w:hAnsi="Times New Roman" w:cs="Times New Roman"/>
                <w:sz w:val="23"/>
                <w:szCs w:val="16"/>
                <w:lang w:eastAsia="ru-RU"/>
              </w:rPr>
              <w:t>Согласие лица (лиц) на использование высказываний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91C7" w14:textId="77777777" w:rsidR="00CA563C" w:rsidRPr="001416AD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4"/>
                <w:lang w:eastAsia="ru-RU"/>
              </w:rPr>
            </w:pP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t xml:space="preserve">Проверка оплаты изготовления </w:t>
            </w: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br/>
              <w:t xml:space="preserve">предвыборных агитационных материалов </w:t>
            </w:r>
            <w:r w:rsidRPr="00CA563C">
              <w:rPr>
                <w:rFonts w:ascii="Times New Roman" w:eastAsia="Times New Roman" w:hAnsi="Times New Roman" w:cs="Times New Roman"/>
                <w:sz w:val="23"/>
                <w:szCs w:val="16"/>
                <w:lang w:eastAsia="ru-RU"/>
              </w:rPr>
              <w:t xml:space="preserve">из средств соответствующего </w:t>
            </w:r>
            <w:r w:rsidRPr="00CA563C">
              <w:rPr>
                <w:rFonts w:ascii="Times New Roman" w:eastAsia="Times New Roman" w:hAnsi="Times New Roman" w:cs="Times New Roman"/>
                <w:sz w:val="23"/>
                <w:szCs w:val="16"/>
                <w:lang w:eastAsia="ru-RU"/>
              </w:rPr>
              <w:br/>
              <w:t>избирательного фонда</w:t>
            </w:r>
          </w:p>
        </w:tc>
      </w:tr>
      <w:tr w:rsidR="00CA563C" w:rsidRPr="00CA563C" w14:paraId="75F7DAF1" w14:textId="77777777" w:rsidTr="001416AD">
        <w:trPr>
          <w:cantSplit/>
          <w:trHeight w:val="2261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DC83" w14:textId="77777777" w:rsidR="00CA563C" w:rsidRPr="001416AD" w:rsidRDefault="00CA563C" w:rsidP="00CA5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5380" w14:textId="77777777" w:rsidR="00CA563C" w:rsidRPr="001416AD" w:rsidRDefault="00CA563C" w:rsidP="00CA5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1B09" w14:textId="77777777" w:rsidR="00CA563C" w:rsidRPr="001416AD" w:rsidRDefault="00CA563C" w:rsidP="00CA5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F154" w14:textId="77777777" w:rsidR="00CA563C" w:rsidRPr="001416AD" w:rsidRDefault="00CA563C" w:rsidP="00CA5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16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DAD1" w14:textId="77777777" w:rsidR="00CA563C" w:rsidRPr="001416AD" w:rsidRDefault="00CA563C" w:rsidP="00CA5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959" w14:textId="77777777" w:rsidR="00CA563C" w:rsidRPr="001416AD" w:rsidRDefault="00CA563C" w:rsidP="00CA5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F8BB" w14:textId="77777777" w:rsidR="00CA563C" w:rsidRPr="001416AD" w:rsidRDefault="00CA563C" w:rsidP="00CA5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D8E6" w14:textId="77777777" w:rsidR="00CA563C" w:rsidRPr="001416AD" w:rsidRDefault="00CA563C" w:rsidP="00CA5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EDE2" w14:textId="77777777" w:rsidR="00CA563C" w:rsidRPr="001416AD" w:rsidRDefault="00CA563C" w:rsidP="00CA5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DA61" w14:textId="77777777" w:rsidR="00CA563C" w:rsidRPr="00CA563C" w:rsidRDefault="00CA563C" w:rsidP="00C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AEED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t xml:space="preserve">результаты </w:t>
            </w: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br/>
              <w:t xml:space="preserve">проверки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5FA553" w14:textId="77777777" w:rsidR="00CA563C" w:rsidRPr="001416AD" w:rsidRDefault="00CA563C" w:rsidP="00CA56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4"/>
                <w:lang w:eastAsia="ru-RU"/>
              </w:rPr>
            </w:pP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t xml:space="preserve">время и дата завершения проверки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5611DA" w14:textId="77777777" w:rsidR="00CA563C" w:rsidRPr="001416AD" w:rsidRDefault="00CA563C" w:rsidP="00CA56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</w:pPr>
            <w:r w:rsidRPr="001416AD">
              <w:rPr>
                <w:rFonts w:ascii="Times New Roman" w:eastAsia="Times New Roman" w:hAnsi="Times New Roman" w:cs="Times New Roman"/>
                <w:bCs/>
                <w:sz w:val="23"/>
                <w:szCs w:val="16"/>
                <w:lang w:eastAsia="ru-RU"/>
              </w:rPr>
              <w:t xml:space="preserve">подпись лица, осуществившего проверку </w:t>
            </w:r>
          </w:p>
        </w:tc>
      </w:tr>
      <w:tr w:rsidR="00CA563C" w:rsidRPr="00CA563C" w14:paraId="470B626D" w14:textId="77777777" w:rsidTr="001416AD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4E68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B331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163F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589C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3DD3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A9BB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6238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DEC7" w14:textId="77777777" w:rsidR="00CA563C" w:rsidRPr="00CA563C" w:rsidRDefault="00CA563C" w:rsidP="00CA563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495D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6327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BE5D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BE8B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9C49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13</w:t>
            </w:r>
          </w:p>
        </w:tc>
      </w:tr>
      <w:tr w:rsidR="00CA563C" w:rsidRPr="00CA563C" w14:paraId="35C13F3C" w14:textId="77777777" w:rsidTr="001416AD">
        <w:trPr>
          <w:trHeight w:val="44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DB7F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6032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577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2BA7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9311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AE25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969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0E10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4924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AEF0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0441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0E00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EE6B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</w:tr>
      <w:tr w:rsidR="00CA563C" w:rsidRPr="00CA563C" w14:paraId="0B015EE0" w14:textId="77777777" w:rsidTr="001416AD">
        <w:trPr>
          <w:trHeight w:val="41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BC2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EF3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A237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EBD4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14E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5D82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B7C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63EB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2057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67A6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E11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75F2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A19A" w14:textId="77777777" w:rsidR="00CA563C" w:rsidRPr="00CA563C" w:rsidRDefault="00CA563C" w:rsidP="00CA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</w:tr>
    </w:tbl>
    <w:p w14:paraId="4EA16741" w14:textId="77777777" w:rsidR="00CA563C" w:rsidRPr="00CA563C" w:rsidRDefault="00CA563C" w:rsidP="00CA563C">
      <w:pPr>
        <w:spacing w:after="200" w:line="276" w:lineRule="auto"/>
        <w:rPr>
          <w:rFonts w:ascii="Calibri" w:eastAsia="Times New Roman" w:hAnsi="Calibri" w:cs="Times New Roman"/>
        </w:rPr>
      </w:pPr>
    </w:p>
    <w:p w14:paraId="21030514" w14:textId="77777777" w:rsidR="00CA563C" w:rsidRPr="00CA563C" w:rsidRDefault="00CA563C" w:rsidP="00CA56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6894A" w14:textId="77777777" w:rsidR="00CA563C" w:rsidRPr="00CA563C" w:rsidRDefault="00CA563C" w:rsidP="00CA56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D9821" w14:textId="77777777" w:rsidR="00CA563C" w:rsidRPr="00CA563C" w:rsidRDefault="00CA563C" w:rsidP="00CA563C">
      <w:pPr>
        <w:autoSpaceDE w:val="0"/>
        <w:autoSpaceDN w:val="0"/>
        <w:adjustRightInd w:val="0"/>
        <w:spacing w:after="0" w:line="400" w:lineRule="exact"/>
        <w:ind w:left="7788" w:firstLine="2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14:paraId="1A436D52" w14:textId="77777777" w:rsidR="00CA563C" w:rsidRPr="00CA563C" w:rsidRDefault="00CA563C" w:rsidP="00CA563C">
      <w:pPr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265C6" w14:textId="77777777" w:rsidR="001416AD" w:rsidRPr="001416AD" w:rsidRDefault="001416AD" w:rsidP="00141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CA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416AD">
        <w:rPr>
          <w:rFonts w:ascii="Times New Roman" w:eastAsia="Times New Roman" w:hAnsi="Times New Roman"/>
          <w:sz w:val="24"/>
          <w:szCs w:val="24"/>
          <w:lang w:eastAsia="ru-RU"/>
        </w:rPr>
        <w:t>Порядку приема, учета, анализа, обработки и хранения в</w:t>
      </w:r>
    </w:p>
    <w:p w14:paraId="69673977" w14:textId="77777777" w:rsidR="001416AD" w:rsidRPr="00CA563C" w:rsidRDefault="001416AD" w:rsidP="001416A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AD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территориальной избирательной комиссии городского округа город Салават Республики Башкортостан предвыборных агитационных материалов и представляемых одновременно с ними документов кандидатов в период избирательной кампании по выборам депутатов Совета городского округа город Салават Республики Башкортостан шестого созыва </w:t>
      </w:r>
    </w:p>
    <w:p w14:paraId="6136CAFA" w14:textId="77777777" w:rsidR="00CA563C" w:rsidRPr="00CA563C" w:rsidRDefault="00CA563C" w:rsidP="00CA563C">
      <w:pPr>
        <w:spacing w:after="200" w:line="276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p w14:paraId="0E15D13C" w14:textId="77777777" w:rsidR="00CA563C" w:rsidRPr="00CA563C" w:rsidRDefault="00CA563C" w:rsidP="00CA563C">
      <w:pPr>
        <w:autoSpaceDE w:val="0"/>
        <w:autoSpaceDN w:val="0"/>
        <w:adjustRightInd w:val="0"/>
        <w:spacing w:before="240" w:after="240" w:line="400" w:lineRule="exact"/>
        <w:ind w:firstLine="2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предвыборных агитационных материалах</w:t>
      </w:r>
    </w:p>
    <w:p w14:paraId="76089A4C" w14:textId="77777777" w:rsidR="00CA563C" w:rsidRPr="00CA563C" w:rsidRDefault="00CA563C" w:rsidP="00CA563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  <w:vertAlign w:val="superscript"/>
          <w:lang w:eastAsia="ru-RU"/>
        </w:rPr>
      </w:pPr>
      <w:r w:rsidRPr="00CA563C">
        <w:rPr>
          <w:rFonts w:ascii="Times New Roman" w:eastAsia="Times New Roman" w:hAnsi="Times New Roman" w:cs="Times New Roman"/>
          <w:i/>
          <w:spacing w:val="-2"/>
          <w:sz w:val="28"/>
          <w:szCs w:val="28"/>
          <w:vertAlign w:val="superscript"/>
          <w:lang w:eastAsia="ru-RU"/>
        </w:rPr>
        <w:t>(фамилия, имя, отчество кандидата в депутаты представительного органа местного самоуправления)</w:t>
      </w:r>
    </w:p>
    <w:p w14:paraId="43145BF5" w14:textId="77777777" w:rsidR="00CA563C" w:rsidRPr="00CA563C" w:rsidRDefault="00CA563C" w:rsidP="00CA563C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7F1893B3" w14:textId="77777777" w:rsidR="00CA563C" w:rsidRPr="00CA563C" w:rsidRDefault="00CA563C" w:rsidP="00CA56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2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683"/>
        <w:gridCol w:w="1700"/>
        <w:gridCol w:w="2267"/>
        <w:gridCol w:w="3118"/>
        <w:gridCol w:w="1700"/>
        <w:gridCol w:w="1841"/>
      </w:tblGrid>
      <w:tr w:rsidR="00CA563C" w:rsidRPr="00CA563C" w14:paraId="41BB3A4C" w14:textId="77777777" w:rsidTr="00CA563C">
        <w:trPr>
          <w:trHeight w:val="44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4817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63C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832D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63C">
              <w:rPr>
                <w:rFonts w:ascii="Times New Roman" w:eastAsia="Times New Roman" w:hAnsi="Times New Roman" w:cs="Times New Roman"/>
                <w:sz w:val="23"/>
                <w:szCs w:val="23"/>
              </w:rPr>
              <w:t>Краткое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5A0B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63C">
              <w:rPr>
                <w:rFonts w:ascii="Times New Roman" w:eastAsia="Times New Roman" w:hAnsi="Times New Roman" w:cs="Times New Roman"/>
                <w:sz w:val="23"/>
                <w:szCs w:val="23"/>
              </w:rPr>
              <w:t>Дата уведомления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4C36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63C">
              <w:rPr>
                <w:rFonts w:ascii="Times New Roman" w:eastAsia="Times New Roman" w:hAnsi="Times New Roman" w:cs="Times New Roman"/>
                <w:sz w:val="23"/>
                <w:szCs w:val="23"/>
              </w:rPr>
              <w:t>Вид, формат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82E4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63C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4569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63C">
              <w:rPr>
                <w:rFonts w:ascii="Times New Roman" w:eastAsia="Times New Roman" w:hAnsi="Times New Roman" w:cs="Times New Roman"/>
                <w:sz w:val="23"/>
                <w:szCs w:val="23"/>
              </w:rPr>
              <w:t>Тираж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AC27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63C">
              <w:rPr>
                <w:rFonts w:ascii="Times New Roman" w:eastAsia="Times New Roman" w:hAnsi="Times New Roman" w:cs="Times New Roman"/>
                <w:sz w:val="23"/>
                <w:szCs w:val="23"/>
              </w:rPr>
              <w:t>Дата выпуска</w:t>
            </w:r>
          </w:p>
        </w:tc>
      </w:tr>
      <w:tr w:rsidR="00CA563C" w:rsidRPr="00CA563C" w14:paraId="56D94773" w14:textId="77777777" w:rsidTr="00CA563C">
        <w:trPr>
          <w:trHeight w:val="2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3F44" w14:textId="77777777" w:rsidR="00CA563C" w:rsidRPr="00CA563C" w:rsidRDefault="00CA563C" w:rsidP="00CA56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DC63" w14:textId="77777777" w:rsidR="00CA563C" w:rsidRPr="00CA563C" w:rsidRDefault="00CA563C" w:rsidP="00CA56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7CC8" w14:textId="77777777" w:rsidR="00CA563C" w:rsidRPr="00CA563C" w:rsidRDefault="00CA563C" w:rsidP="00CA56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F50C" w14:textId="77777777" w:rsidR="00CA563C" w:rsidRPr="00CA563C" w:rsidRDefault="00CA563C" w:rsidP="00CA56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B8E1" w14:textId="77777777" w:rsidR="00CA563C" w:rsidRPr="00CA563C" w:rsidRDefault="00CA563C" w:rsidP="00CA56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82AE" w14:textId="77777777" w:rsidR="00CA563C" w:rsidRPr="00CA563C" w:rsidRDefault="00CA563C" w:rsidP="00CA56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191D" w14:textId="77777777" w:rsidR="00CA563C" w:rsidRPr="00CA563C" w:rsidRDefault="00CA563C" w:rsidP="00CA56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563C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CA563C" w:rsidRPr="00CA563C" w14:paraId="70477077" w14:textId="77777777" w:rsidTr="00CA563C">
        <w:trPr>
          <w:trHeight w:val="44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DF6A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E123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F0AE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0B85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ABA9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2AAB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A568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7"/>
                <w:szCs w:val="27"/>
              </w:rPr>
            </w:pPr>
          </w:p>
        </w:tc>
      </w:tr>
      <w:tr w:rsidR="00CA563C" w:rsidRPr="00CA563C" w14:paraId="720A7B65" w14:textId="77777777" w:rsidTr="00CA563C">
        <w:trPr>
          <w:trHeight w:val="44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7A1D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B885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CE9D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201A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285E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43FD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1055" w14:textId="77777777" w:rsidR="00CA563C" w:rsidRPr="00CA563C" w:rsidRDefault="00CA563C" w:rsidP="00CA563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7"/>
                <w:szCs w:val="27"/>
              </w:rPr>
            </w:pPr>
          </w:p>
        </w:tc>
      </w:tr>
    </w:tbl>
    <w:p w14:paraId="172CCED3" w14:textId="77777777" w:rsidR="00CA563C" w:rsidRPr="00CA563C" w:rsidRDefault="00CA563C" w:rsidP="00CA563C">
      <w:pPr>
        <w:autoSpaceDE w:val="0"/>
        <w:autoSpaceDN w:val="0"/>
        <w:adjustRightInd w:val="0"/>
        <w:spacing w:after="0" w:line="400" w:lineRule="exact"/>
        <w:ind w:left="7788" w:firstLine="2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73551" w14:textId="77777777" w:rsidR="00CA563C" w:rsidRPr="00CA563C" w:rsidRDefault="00CA563C" w:rsidP="00CA563C">
      <w:pPr>
        <w:autoSpaceDE w:val="0"/>
        <w:autoSpaceDN w:val="0"/>
        <w:adjustRightInd w:val="0"/>
        <w:spacing w:after="0" w:line="400" w:lineRule="exact"/>
        <w:ind w:left="7788" w:firstLine="2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ADA4C" w14:textId="77777777" w:rsidR="001453D4" w:rsidRDefault="001453D4"/>
    <w:sectPr w:rsidR="001453D4" w:rsidSect="001416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FC"/>
    <w:rsid w:val="001416AD"/>
    <w:rsid w:val="001453D4"/>
    <w:rsid w:val="00554EFC"/>
    <w:rsid w:val="007F209D"/>
    <w:rsid w:val="00C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34E7"/>
  <w15:chartTrackingRefBased/>
  <w15:docId w15:val="{6026D50A-7E1C-4DB8-BCD9-97911C86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2024-08-03T06:21:00Z</dcterms:created>
  <dcterms:modified xsi:type="dcterms:W3CDTF">2024-08-03T06:38:00Z</dcterms:modified>
</cp:coreProperties>
</file>