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C" w:rsidRPr="000E2CBC" w:rsidRDefault="000E2CBC" w:rsidP="000E2CBC">
      <w:pPr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15EC">
        <w:rPr>
          <w:rFonts w:ascii="Times New Roman" w:hAnsi="Times New Roman" w:cs="Times New Roman"/>
          <w:sz w:val="28"/>
          <w:szCs w:val="28"/>
        </w:rPr>
        <w:t>2</w:t>
      </w:r>
    </w:p>
    <w:p w:rsidR="000E2CBC" w:rsidRPr="000E2CBC" w:rsidRDefault="000E2CBC" w:rsidP="000E2CBC">
      <w:pPr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E2CBC" w:rsidRPr="000E2CBC" w:rsidRDefault="000E2CBC" w:rsidP="000E2CBC">
      <w:pPr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</w:p>
    <w:p w:rsidR="000E2CBC" w:rsidRPr="000E2CBC" w:rsidRDefault="000E2CBC" w:rsidP="000E2CBC">
      <w:pPr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</w:t>
      </w:r>
      <w:r w:rsidR="00D31143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Pr="000E2CBC">
        <w:rPr>
          <w:rFonts w:ascii="Times New Roman" w:hAnsi="Times New Roman" w:cs="Times New Roman"/>
          <w:sz w:val="28"/>
          <w:szCs w:val="28"/>
        </w:rPr>
        <w:t>2011г. №</w:t>
      </w:r>
      <w:r w:rsidR="00D31143">
        <w:rPr>
          <w:rFonts w:ascii="Times New Roman" w:hAnsi="Times New Roman" w:cs="Times New Roman"/>
          <w:sz w:val="28"/>
          <w:szCs w:val="28"/>
        </w:rPr>
        <w:t xml:space="preserve"> 2-45/489</w:t>
      </w:r>
    </w:p>
    <w:p w:rsidR="000E2CBC" w:rsidRDefault="000E2CBC" w:rsidP="000E2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BC" w:rsidRDefault="000E2CBC" w:rsidP="000E2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BC">
        <w:rPr>
          <w:rFonts w:ascii="Times New Roman" w:hAnsi="Times New Roman" w:cs="Times New Roman"/>
          <w:b/>
          <w:sz w:val="28"/>
          <w:szCs w:val="28"/>
        </w:rPr>
        <w:t xml:space="preserve">Выполнение Плана программных мероприятий по городскому округу город Салават </w:t>
      </w:r>
    </w:p>
    <w:p w:rsidR="000E2CBC" w:rsidRDefault="000E2CBC" w:rsidP="000E2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BC">
        <w:rPr>
          <w:rFonts w:ascii="Times New Roman" w:hAnsi="Times New Roman" w:cs="Times New Roman"/>
          <w:b/>
          <w:sz w:val="28"/>
          <w:szCs w:val="28"/>
        </w:rPr>
        <w:t>Республики Башкортостан за 2005-2010 гг.</w:t>
      </w:r>
    </w:p>
    <w:p w:rsidR="000E2CBC" w:rsidRDefault="000E2CBC" w:rsidP="000E2CBC">
      <w:pPr>
        <w:spacing w:line="240" w:lineRule="auto"/>
        <w:contextualSpacing/>
        <w:jc w:val="center"/>
      </w:pPr>
    </w:p>
    <w:tbl>
      <w:tblPr>
        <w:tblW w:w="15749" w:type="dxa"/>
        <w:tblInd w:w="93" w:type="dxa"/>
        <w:tblLayout w:type="fixed"/>
        <w:tblLook w:val="04A0"/>
      </w:tblPr>
      <w:tblGrid>
        <w:gridCol w:w="516"/>
        <w:gridCol w:w="3752"/>
        <w:gridCol w:w="1701"/>
        <w:gridCol w:w="996"/>
        <w:gridCol w:w="876"/>
        <w:gridCol w:w="821"/>
        <w:gridCol w:w="876"/>
        <w:gridCol w:w="876"/>
        <w:gridCol w:w="876"/>
        <w:gridCol w:w="876"/>
        <w:gridCol w:w="3583"/>
      </w:tblGrid>
      <w:tr w:rsidR="000E2CBC" w:rsidRPr="000E2CBC" w:rsidTr="000E2CBC">
        <w:trPr>
          <w:trHeight w:val="15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исполнители и соисполнители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финансирования, млн. руб.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Достигнутые социально-экономические результаты</w:t>
            </w: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2CBC" w:rsidRPr="000E2CBC" w:rsidTr="000E2CBC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 «ОБРАБАТЫВАЮЩИЕ ПРОИЗВОДСТВА»</w:t>
            </w:r>
          </w:p>
        </w:tc>
      </w:tr>
      <w:tr w:rsidR="000E2CBC" w:rsidRPr="000E2CBC" w:rsidTr="000E2CBC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битумов мощностью 300 тыс. т/год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«Салаватнефтеоргсинтез»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введена в 2006 году. Мощность 300 тонн в год. Дополнительно создано 49 рабочих мест</w:t>
            </w:r>
          </w:p>
        </w:tc>
      </w:tr>
      <w:tr w:rsidR="000E2CBC" w:rsidRPr="000E2CBC" w:rsidTr="000E2CBC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установки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висбрекинга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мощностью 1,5 млн.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Салаватнефтеоргсинтез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глубины переработки, снижение общего количества малоценного котельного топлива, дополнительная выработка энергетических ресурсов. Дополнительно создано 119 рабочих мест</w:t>
            </w:r>
          </w:p>
        </w:tc>
      </w:tr>
      <w:tr w:rsidR="000E2CBC" w:rsidRPr="000E2CBC" w:rsidTr="000E2CBC">
        <w:trPr>
          <w:trHeight w:val="3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производства полиэтилена мощностью 120тыс,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Салаватнефтеоргсинтез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 установки состоялся в марте 2010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олиэтилен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произведенный по суспензионной технологии, ориентирован на изготовление напорных труб, применяемых для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водоснабжения; изделий, выпускаемых методом литья и выдувной экструзии; пленки, пленочных изделий, компонентов многослойной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пленки.Число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созданных рабочих мест после ввода объекта в эксплуатацию составило 130 человек</w:t>
            </w:r>
          </w:p>
        </w:tc>
      </w:tr>
      <w:tr w:rsidR="000E2CBC" w:rsidRPr="000E2CBC" w:rsidTr="000E2CBC">
        <w:trPr>
          <w:trHeight w:val="26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установки каталитического крекинга мощностью 1,2 млн.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Салаватнефтеоргсинтез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ранее принятого базового проекта установки каталитического крекинга FCC на микросферическом катализаторе,  продолжается дальнейшее его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позволит увеличить объемы производства светлых нефтепродуктов, в том числе бензина на 617 тыс.т./год</w:t>
            </w:r>
          </w:p>
        </w:tc>
      </w:tr>
      <w:tr w:rsidR="000E2CBC" w:rsidRPr="000E2CBC" w:rsidTr="000E2CBC">
        <w:trPr>
          <w:trHeight w:val="2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изделий из стеклопластика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Эколайн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 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Машспецстрой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г.Пермь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Выпущена опытно-промышленная партия чаши бассейна в количестве 10 штук.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разрешительная документация</w:t>
            </w:r>
          </w:p>
        </w:tc>
      </w:tr>
      <w:tr w:rsidR="000E2CBC" w:rsidRPr="000E2CBC" w:rsidTr="000E2CBC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литейного цеха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фирма GEMKO Голландия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 ремонт производственных помещений, демонтаж оборудования</w:t>
            </w:r>
          </w:p>
        </w:tc>
      </w:tr>
      <w:tr w:rsidR="000E2CBC" w:rsidRPr="000E2CBC" w:rsidTr="000E2CBC">
        <w:trPr>
          <w:trHeight w:val="19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производства листового стекла цеха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«Салават-стекло»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Энергогазкомплект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 «HORN»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после реконструкции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по производству высокомарочного листового стекла, мощностью 600 тонн/сутки. Дополнительный объем товарной продукции составит 5231,6 тыс.кв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етров или 595,6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</w:p>
        </w:tc>
      </w:tr>
      <w:tr w:rsidR="000E2CBC" w:rsidRPr="000E2CBC" w:rsidTr="000E2CBC">
        <w:trPr>
          <w:trHeight w:val="30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производства листового стекла цеха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«Салават-стекло»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реконструкция производства листового 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которой на европейский технический уровень выведена линия по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производсву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полированного стекла производительностью 500 тонн в сутки по сваренной стекломассе. В декабре 2007 года начат выпуск высокомарочного стекла.</w:t>
            </w:r>
          </w:p>
        </w:tc>
      </w:tr>
      <w:tr w:rsidR="000E2CBC" w:rsidRPr="000E2CBC" w:rsidTr="000E2CBC">
        <w:trPr>
          <w:trHeight w:val="3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производства силикат натрия растворимого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«Салават-стекло»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 производства осуществлен в сентябре 2008 года. Производство силикат натрия растворимого новым способом позволило улучшить свойства конечного продукта (отсутствие спекания гранул и загрязнений, расширение ассортимента), увеличилась мощность производства с 155 тонн до 300 тонн в сутки. Выпуск  дополнительно товарной продукции составляет 212,2 млн. рублей. Дополнительные налоговые поступления  составили в бюджет РБ 9,5 млн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ублей. </w:t>
            </w:r>
          </w:p>
        </w:tc>
      </w:tr>
      <w:tr w:rsidR="000E2CBC" w:rsidRPr="000E2CBC" w:rsidTr="000E2CB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60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«ОПТОВАЯ И РОЗНИЧНАЯ ТОРГОВЛЯ, РЕМОНТ АВТОТРАНСПОРТНЫХ СРЕДСТВ, МОТОЦИКЛОВ, БЫТОВЫХ ИЗДЕЛИЙ И  ПРЕДМЕТОВ ЛИЧНОГО ПОЛЬЗОВАНИЯ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2CBC" w:rsidRPr="000E2CBC" w:rsidTr="000E2CB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торгового центра "Велес"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площадь 2750 кв.м. на 240 рабочих мест</w:t>
            </w:r>
          </w:p>
        </w:tc>
      </w:tr>
      <w:tr w:rsidR="000E2CBC" w:rsidRPr="000E2CBC" w:rsidTr="000E2CBC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 торговых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1580 кв.м., товарооборот 7 млн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ублей, 30 новых рабочих мест</w:t>
            </w:r>
          </w:p>
        </w:tc>
      </w:tr>
      <w:tr w:rsidR="000E2CBC" w:rsidRPr="000E2CBC" w:rsidTr="000E2CBC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 магазинов для реализации товаров смешенного ассортимента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14 новых магазинов, торговая площадь составляет 2681,9  кв.м., дополнительно создано 128 рабочих мест</w:t>
            </w:r>
          </w:p>
        </w:tc>
      </w:tr>
      <w:tr w:rsidR="000E2CBC" w:rsidRPr="000E2CBC" w:rsidTr="000E2CB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ТК «Гостиный двор»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Гостинный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9590 кв.м., 130 рабочих мест. </w:t>
            </w:r>
          </w:p>
        </w:tc>
      </w:tr>
      <w:tr w:rsidR="000E2CBC" w:rsidRPr="000E2CBC" w:rsidTr="000E2CBC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торгового павильон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ТСК «Городской рынок»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«Городской рынок»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6210 кв.м., 230 рабочих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оварооборот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млн.рублей</w:t>
            </w:r>
          </w:p>
        </w:tc>
      </w:tr>
      <w:tr w:rsidR="000E2CBC" w:rsidRPr="000E2CBC" w:rsidTr="000E2CBC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фруктохранилища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организацией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360 кв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мест, товарооборот 1,9 млн. рублей</w:t>
            </w: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48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«ПРЕОДОЛЕНИЕ МОНОПРОФИЛЬНОЙ СТРУКТУРЫ ЭКОНОМИКИ ГОРОДСКОГО ОКРУГА ГОРОД САЛАВАТ РЕСПУБЛИКИ БАШКОРТОСТАН»</w:t>
            </w:r>
          </w:p>
        </w:tc>
      </w:tr>
      <w:tr w:rsidR="000E2CBC" w:rsidRPr="000E2CBC" w:rsidTr="000E2CBC">
        <w:trPr>
          <w:trHeight w:val="4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Программы содействия занятости населения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2009 год по городскому округу город Салават Республики Башкортостан утвержденной постановление главы администрации городского округа город Салават Республики Башкортостан от 21 августа 2009 года №1722-п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 ГУ «Центр занятости населения г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алавата»  Предприятия организации городского округа город Салават 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2009-2010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обеспечения занятости граждан с предприятиями и организациями городского округа заключены:49  договоров на организацию общественных работ, 43 договора о совместной деятельности по организации стажировки 287 выпускников образовательных учреждений,62 договора по содействию безработным гражданам в организации предпринимательской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акже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мероприятия по содействию в трудоустройстве инвалидов и других категорий населения.</w:t>
            </w:r>
          </w:p>
        </w:tc>
      </w:tr>
      <w:tr w:rsidR="000E2CBC" w:rsidRPr="000E2CBC" w:rsidTr="000E2CBC">
        <w:trPr>
          <w:trHeight w:val="4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Республиканской программы развития субъектов малого и среднего предпринимательства в Республике Башкортостан на 2009 год, утвержденной постановлением Правительства Республики Башкортостан от 18 февраля 2009 года №67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Ассоциация организаций предпринимательства г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 РБ субъекты малого и среднего предпринимательства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2009-2010 гг. в рамках реализации Республиканской программы развития малого и среднего предпринимательства в Республике Башкортостан 23 субъекта малого и среднего предпринимательства получили финансовую поддержку в сумме 5,6 млн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 из средств республиканского бюджета. Полученные средства направлены на сохранение существующих и на создание новых рабочих мест, на расширение деятельности субъектов малого предпринимательства</w:t>
            </w:r>
          </w:p>
        </w:tc>
      </w:tr>
      <w:tr w:rsidR="000E2CBC" w:rsidRPr="000E2CBC" w:rsidTr="000E2CB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"ЭФФЕКТИВНОСТЬ БЮДЖЕТНОЙ ПОЛИТИКИ"</w:t>
            </w:r>
          </w:p>
        </w:tc>
      </w:tr>
      <w:tr w:rsidR="000E2CBC" w:rsidRPr="000E2CBC" w:rsidTr="000E2CBC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конкурсных процедур при осуществлении муниципальных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эффективность от размещения заказов на торгах и путем запроса котировок в 2006-2010 гг. году составила 172 млн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0E2CBC" w:rsidRPr="000E2CBC" w:rsidTr="000E2CBC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официального сайта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Администрации городского округа действует с сентября 2006 года</w:t>
            </w:r>
          </w:p>
        </w:tc>
      </w:tr>
      <w:tr w:rsidR="000E2CBC" w:rsidRPr="000E2CBC" w:rsidTr="000E2CBC">
        <w:trPr>
          <w:trHeight w:val="37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ИМУЩЕСТВОМ»</w:t>
            </w:r>
          </w:p>
        </w:tc>
      </w:tr>
      <w:tr w:rsidR="000E2CBC" w:rsidRPr="000E2CBC" w:rsidTr="000E2CBC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Пересмотр кадастровой стоимости земли городского округа и ставок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МИО РБ г. Салават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поступлений земельного налога по сравнению с 2006 годом на 215,9 </w:t>
            </w:r>
            <w:proofErr w:type="spellStart"/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E2CBC" w:rsidRPr="000E2CBC" w:rsidTr="000E2CBC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«МЕРОПРИЯТИЯ ПО РАЗВИТИЮ МАЛОГО ПРЕДПРИНИМАТЕЛЬСТВА В ГОРОДСКОМ ОКРУГЕ»</w:t>
            </w:r>
          </w:p>
        </w:tc>
      </w:tr>
      <w:tr w:rsidR="000E2CBC" w:rsidRPr="000E2CBC" w:rsidTr="000E2CBC">
        <w:trPr>
          <w:trHeight w:val="29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РБ    Ассоциация организаций предпринимательства РБ Администрация городского округа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 бизнес-инкубатор. Основной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показательэффективности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бизнес-инкубатора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число фирм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выпущенных" за время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существованияи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новых рабочих мест,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соэданных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фирмами арендаторами. </w:t>
            </w:r>
          </w:p>
        </w:tc>
      </w:tr>
      <w:tr w:rsidR="000E2CBC" w:rsidRPr="000E2CBC" w:rsidTr="000E2CBC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ПТЦ «Мода» (ремонт и пошив одежды, ремонт и пошив обуви, парикмахерские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ПБОЮЛ Малиновская Т.А.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Колесникова З.О.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и оказание услуг (ремонт и пошив одежды, ремонт и пошив обуви, парикмахерские услуги) 940 тыс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уб., создано 25 новых рабочих мест</w:t>
            </w:r>
          </w:p>
        </w:tc>
      </w:tr>
      <w:tr w:rsidR="000E2CBC" w:rsidRPr="000E2CBC" w:rsidTr="000E2CB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«МЕРОПРИЯТИЯ ПО УЛУЧШЕНИЮ СОЦИАЛЬНОЙ ИНФРАСТРУКТУРЫ ГОРОДСКОГО ОКРУГА»</w:t>
            </w:r>
          </w:p>
        </w:tc>
      </w:tr>
      <w:tr w:rsidR="000E2CBC" w:rsidRPr="000E2CBC" w:rsidTr="000E2CBC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кинотеатра «Комсомолец» под Дворец Бракосочетания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СПКП "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жизни людей</w:t>
            </w:r>
          </w:p>
        </w:tc>
      </w:tr>
      <w:tr w:rsidR="000E2CBC" w:rsidRPr="000E2CBC" w:rsidTr="000E2CB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«Аллеи Батыра»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жизни людей</w:t>
            </w:r>
          </w:p>
        </w:tc>
      </w:tr>
      <w:tr w:rsidR="000E2CBC" w:rsidRPr="000E2CBC" w:rsidTr="000E2CB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многопрофильной больницы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строительно-монтажные  и проектно - изыскательские работы. </w:t>
            </w:r>
          </w:p>
        </w:tc>
      </w:tr>
      <w:tr w:rsidR="000E2CBC" w:rsidRPr="000E2CBC" w:rsidTr="000E2CBC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городского физкультурно-оздоровительного комплекса "Алмаз"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МУП "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Салаватстройзаказчик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строительно-монтажные  и проектно - изыскательские работы. </w:t>
            </w:r>
          </w:p>
        </w:tc>
      </w:tr>
      <w:tr w:rsidR="000E2CBC" w:rsidRPr="000E2CBC" w:rsidTr="000E2CBC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Салаватского государственного башкирского драматического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и национальной политики РБ                                                                Администрация городского округа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бюджета Республики Башкортостан выделены средства на проведение проектно-изыскательских работ</w:t>
            </w:r>
          </w:p>
        </w:tc>
      </w:tr>
      <w:tr w:rsidR="000E2CBC" w:rsidRPr="000E2CBC" w:rsidTr="000E2CBC">
        <w:trPr>
          <w:trHeight w:val="29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кинотеатра «Родина» под краеведческий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реконструкция здания кинотеатра под историко-краеведческий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открытием в городе впервые появился многопрофильный музей, включающий в себя исторический, краеведческий,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этнографический, отраслевой и мемориальный профили. Создано 20 рабочих мест.</w:t>
            </w:r>
          </w:p>
        </w:tc>
      </w:tr>
      <w:tr w:rsidR="000E2CBC" w:rsidRPr="000E2CBC" w:rsidTr="000E2CB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64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 «МЕРОПРИЯТИЯ ПО ЖИЛИЩНОМУ СТРОИТЕЛЬСТВУ, РАЗВИТИЮ ИНЖЕНЕРНЫХ СЕТЕЙ, ОБЪЕКТОВ КОММУНАЛЬНОГО ХОЗЯЙСТВА ГОРОДСКОГО ОКРУГА»</w:t>
            </w:r>
          </w:p>
        </w:tc>
      </w:tr>
      <w:tr w:rsidR="000E2CBC" w:rsidRPr="000E2CBC" w:rsidTr="000E2CBC">
        <w:trPr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spellStart"/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Салаватстройзаказчик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Термозопласт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Салаваттехстрой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Салаватстройинвест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 2006-2010 гг. введено 225798 кв. м. жилья</w:t>
            </w:r>
          </w:p>
        </w:tc>
      </w:tr>
      <w:tr w:rsidR="000E2CBC" w:rsidRPr="000E2CBC" w:rsidTr="000E2CBC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по улице Калинина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 – сметная документация на строительство автодороги </w:t>
            </w:r>
          </w:p>
        </w:tc>
      </w:tr>
      <w:tr w:rsidR="000E2CBC" w:rsidRPr="000E2CBC" w:rsidTr="000E2CBC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автодороги по улице Уфимская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округа, улучшение качества жизни жителей</w:t>
            </w:r>
          </w:p>
        </w:tc>
      </w:tr>
      <w:tr w:rsidR="000E2CBC" w:rsidRPr="000E2CBC" w:rsidTr="000E2CBC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здания стационара под социальное жилье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МУП "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Салаватстройзаказчик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жильем медицинских  работников</w:t>
            </w:r>
          </w:p>
        </w:tc>
      </w:tr>
      <w:tr w:rsidR="000E2CBC" w:rsidRPr="000E2CBC" w:rsidTr="000E2CBC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инженерных сетей и коммуникаций в поселке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Спутник-Юлдаш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Салаватстройзаказчик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водопровода, улучшение качества жизни жителей поселка </w:t>
            </w: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43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«ОБЕСПЕЧЕНИЕ ЭКОЛОГИЧЕСКОЙ БЕЗОПАСНОСТИ»</w:t>
            </w:r>
          </w:p>
        </w:tc>
      </w:tr>
      <w:tr w:rsidR="000E2CBC" w:rsidRPr="000E2CBC" w:rsidTr="000E2CBC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Освобождение прудов отстойников ОС-91, ОС-92, ОС-315 от ранее </w:t>
            </w:r>
            <w:proofErr w:type="gram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</w:t>
            </w:r>
            <w:proofErr w:type="gram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Салаватнефтеоргсинтез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Производилось извлечение и переработка </w:t>
            </w:r>
            <w:proofErr w:type="spellStart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результате чего получены ловушечная нефть и компоненты мазута</w:t>
            </w: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CBC" w:rsidRPr="000E2CBC" w:rsidTr="000E2C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финансированию 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BC" w:rsidRPr="000E2CBC" w:rsidRDefault="000E2CBC" w:rsidP="000E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2CBC" w:rsidRDefault="000E2CBC"/>
    <w:sectPr w:rsidR="000E2CBC" w:rsidSect="000E2CBC">
      <w:pgSz w:w="16838" w:h="11906" w:orient="landscape"/>
      <w:pgMar w:top="850" w:right="253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CBC"/>
    <w:rsid w:val="0007135F"/>
    <w:rsid w:val="000E2CBC"/>
    <w:rsid w:val="001315EC"/>
    <w:rsid w:val="007032B7"/>
    <w:rsid w:val="00891DD0"/>
    <w:rsid w:val="00D3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KANUKOVA</cp:lastModifiedBy>
  <cp:revision>3</cp:revision>
  <cp:lastPrinted>2011-04-29T10:04:00Z</cp:lastPrinted>
  <dcterms:created xsi:type="dcterms:W3CDTF">2011-03-11T11:24:00Z</dcterms:created>
  <dcterms:modified xsi:type="dcterms:W3CDTF">2011-04-29T10:05:00Z</dcterms:modified>
</cp:coreProperties>
</file>